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4A1C6" w14:textId="77777777" w:rsidR="002C0A4C" w:rsidRDefault="002C0A4C" w:rsidP="002C0A4C">
      <w:pPr>
        <w:widowControl w:val="0"/>
        <w:pBdr>
          <w:top w:val="nil"/>
          <w:left w:val="nil"/>
          <w:bottom w:val="nil"/>
          <w:right w:val="nil"/>
          <w:between w:val="nil"/>
        </w:pBdr>
        <w:spacing w:before="163" w:line="240" w:lineRule="auto"/>
        <w:ind w:right="1703"/>
        <w:jc w:val="right"/>
        <w:rPr>
          <w:rFonts w:eastAsia="Times New Roman"/>
          <w:b/>
          <w:color w:val="000000"/>
          <w:sz w:val="24"/>
          <w:szCs w:val="24"/>
        </w:rPr>
      </w:pPr>
      <w:r w:rsidRPr="00EB0EE0">
        <w:rPr>
          <w:rFonts w:eastAsia="Times New Roman"/>
          <w:b/>
          <w:color w:val="000000"/>
          <w:sz w:val="24"/>
          <w:szCs w:val="24"/>
        </w:rPr>
        <w:t xml:space="preserve">Academic Standards, Regulations and Admissions Committee </w:t>
      </w:r>
    </w:p>
    <w:p w14:paraId="3B79E0E7" w14:textId="77777777" w:rsidR="002C0A4C" w:rsidRPr="00EB0EE0" w:rsidRDefault="002C0A4C" w:rsidP="002C0A4C">
      <w:pPr>
        <w:widowControl w:val="0"/>
        <w:pBdr>
          <w:top w:val="nil"/>
          <w:left w:val="nil"/>
          <w:bottom w:val="nil"/>
          <w:right w:val="nil"/>
          <w:between w:val="nil"/>
        </w:pBdr>
        <w:spacing w:before="163" w:line="240" w:lineRule="auto"/>
        <w:ind w:right="1703"/>
        <w:jc w:val="right"/>
        <w:rPr>
          <w:rFonts w:eastAsia="Times New Roman"/>
          <w:b/>
          <w:color w:val="000000"/>
          <w:sz w:val="24"/>
          <w:szCs w:val="24"/>
        </w:rPr>
      </w:pPr>
    </w:p>
    <w:p w14:paraId="60F59C67" w14:textId="02E9A4C5" w:rsidR="002C0A4C" w:rsidRPr="00EB0EE0" w:rsidRDefault="002C0A4C" w:rsidP="000B63A6">
      <w:pPr>
        <w:jc w:val="both"/>
        <w:rPr>
          <w:sz w:val="24"/>
          <w:szCs w:val="24"/>
        </w:rPr>
      </w:pPr>
      <w:r w:rsidRPr="00EB0EE0">
        <w:rPr>
          <w:b/>
          <w:bCs/>
          <w:sz w:val="24"/>
          <w:szCs w:val="24"/>
        </w:rPr>
        <w:t>Charge</w:t>
      </w:r>
      <w:r>
        <w:rPr>
          <w:b/>
          <w:bCs/>
          <w:sz w:val="24"/>
          <w:szCs w:val="24"/>
        </w:rPr>
        <w:t xml:space="preserve"> requested from the Senate EC</w:t>
      </w:r>
      <w:r w:rsidRPr="00EB0EE0">
        <w:rPr>
          <w:sz w:val="24"/>
          <w:szCs w:val="24"/>
        </w:rPr>
        <w:t>:</w:t>
      </w:r>
      <w:r w:rsidRPr="00EB0EE0">
        <w:rPr>
          <w:i/>
          <w:iCs/>
          <w:sz w:val="24"/>
          <w:szCs w:val="24"/>
        </w:rPr>
        <w:t> </w:t>
      </w:r>
      <w:r w:rsidRPr="002C0A4C">
        <w:rPr>
          <w:i/>
          <w:iCs/>
          <w:sz w:val="24"/>
          <w:szCs w:val="24"/>
        </w:rPr>
        <w:t>Examine (</w:t>
      </w:r>
      <w:proofErr w:type="spellStart"/>
      <w:r w:rsidRPr="002C0A4C">
        <w:rPr>
          <w:i/>
          <w:iCs/>
          <w:sz w:val="24"/>
          <w:szCs w:val="24"/>
        </w:rPr>
        <w:t>i</w:t>
      </w:r>
      <w:proofErr w:type="spellEnd"/>
      <w:r w:rsidRPr="002C0A4C">
        <w:rPr>
          <w:i/>
          <w:iCs/>
          <w:sz w:val="24"/>
          <w:szCs w:val="24"/>
        </w:rPr>
        <w:t>) the existing policies, procedures, and practices that govern school-to-school and campus-to-campus</w:t>
      </w:r>
      <w:r w:rsidR="006D4318">
        <w:rPr>
          <w:rStyle w:val="FootnoteReference"/>
          <w:i/>
          <w:iCs/>
          <w:sz w:val="24"/>
          <w:szCs w:val="24"/>
        </w:rPr>
        <w:footnoteReference w:id="1"/>
      </w:r>
      <w:r w:rsidRPr="002C0A4C">
        <w:rPr>
          <w:i/>
          <w:iCs/>
          <w:sz w:val="24"/>
          <w:szCs w:val="24"/>
        </w:rPr>
        <w:t xml:space="preserve"> transfers within the university, and (ii) the challenges that currently enrolled undergraduate students face when seeking to transfer to another Rutgers program outside of their school of enrollment. Recommend strategies and considerations, as appropriate, to ensure that the transfer process is transparent, accessible, and easily understood by all students</w:t>
      </w:r>
      <w:r>
        <w:rPr>
          <w:i/>
          <w:iCs/>
          <w:sz w:val="24"/>
          <w:szCs w:val="24"/>
        </w:rPr>
        <w:t>.</w:t>
      </w:r>
    </w:p>
    <w:p w14:paraId="497DF435" w14:textId="77777777" w:rsidR="002C0A4C" w:rsidRPr="00EB0EE0" w:rsidRDefault="002C0A4C" w:rsidP="002C0A4C">
      <w:pPr>
        <w:rPr>
          <w:sz w:val="24"/>
          <w:szCs w:val="24"/>
        </w:rPr>
      </w:pPr>
    </w:p>
    <w:p w14:paraId="0767AA55" w14:textId="77777777" w:rsidR="0041441A" w:rsidRPr="0041441A" w:rsidRDefault="002C0A4C" w:rsidP="000B63A6">
      <w:pPr>
        <w:jc w:val="both"/>
        <w:rPr>
          <w:rFonts w:eastAsia="Times New Roman"/>
          <w:sz w:val="24"/>
          <w:szCs w:val="24"/>
        </w:rPr>
      </w:pPr>
      <w:r w:rsidRPr="00EB0EE0">
        <w:rPr>
          <w:rFonts w:eastAsia="Times New Roman"/>
          <w:b/>
          <w:color w:val="000000"/>
          <w:sz w:val="24"/>
          <w:szCs w:val="24"/>
        </w:rPr>
        <w:t>Background</w:t>
      </w:r>
      <w:r w:rsidRPr="00EB0EE0">
        <w:rPr>
          <w:b/>
          <w:bCs/>
          <w:sz w:val="24"/>
          <w:szCs w:val="24"/>
        </w:rPr>
        <w:t xml:space="preserve">: </w:t>
      </w:r>
      <w:r w:rsidR="0041441A" w:rsidRPr="0041441A">
        <w:rPr>
          <w:rFonts w:eastAsia="Times New Roman"/>
          <w:sz w:val="24"/>
          <w:szCs w:val="24"/>
        </w:rPr>
        <w:t>Applicants to Rutgers University may select multiple schools for admission consideration. Many students are not admitted to their first-choice school, and in some cases, applicants to schools at Rutgers–New Brunswick may be considered for admission to schools on the Rutgers–Newark or Rutgers–Camden campuses. Students who enroll at a school other than their top choice may do so with the expectation that they will have an opportunity to apply for a transfer after completing a semester or more at Rutgers.</w:t>
      </w:r>
    </w:p>
    <w:p w14:paraId="69CA5420" w14:textId="5052FCD8" w:rsidR="0041441A" w:rsidRPr="0041441A" w:rsidRDefault="0041441A" w:rsidP="000B63A6">
      <w:pPr>
        <w:jc w:val="both"/>
        <w:rPr>
          <w:rFonts w:eastAsia="Times New Roman"/>
          <w:sz w:val="24"/>
          <w:szCs w:val="24"/>
        </w:rPr>
      </w:pPr>
      <w:r w:rsidRPr="0041441A">
        <w:rPr>
          <w:rFonts w:eastAsia="Times New Roman"/>
          <w:sz w:val="24"/>
          <w:szCs w:val="24"/>
        </w:rPr>
        <w:t>While many students remain at their initially enrolled school throughout their academic careers, others may seek to transfer to another school</w:t>
      </w:r>
      <w:r>
        <w:rPr>
          <w:rFonts w:eastAsia="Times New Roman"/>
          <w:sz w:val="24"/>
          <w:szCs w:val="24"/>
        </w:rPr>
        <w:t xml:space="preserve"> - </w:t>
      </w:r>
      <w:r w:rsidRPr="0041441A">
        <w:rPr>
          <w:rFonts w:eastAsia="Times New Roman"/>
          <w:sz w:val="24"/>
          <w:szCs w:val="24"/>
        </w:rPr>
        <w:t>either to pursue a specific academic program not offered at their current school or to better align with their academic or career goals. These transfers may occur within a campus (inter-school or intra-campus transfers) or between campuses (inter-campus transfers).</w:t>
      </w:r>
    </w:p>
    <w:p w14:paraId="2BEE0002" w14:textId="77777777" w:rsidR="0041441A" w:rsidRPr="0041441A" w:rsidRDefault="0041441A" w:rsidP="000B63A6">
      <w:pPr>
        <w:jc w:val="both"/>
        <w:rPr>
          <w:rFonts w:eastAsia="Times New Roman"/>
          <w:sz w:val="24"/>
          <w:szCs w:val="24"/>
        </w:rPr>
      </w:pPr>
      <w:r w:rsidRPr="0041441A">
        <w:rPr>
          <w:rFonts w:eastAsia="Times New Roman"/>
          <w:sz w:val="24"/>
          <w:szCs w:val="24"/>
        </w:rPr>
        <w:t>Anecdotal reports from students, including student-athletes, suggest that the transfer process, particularly for school-to-school transfers within Rutgers–New Brunswick and campus-to-campus transfers to Rutgers–New Brunswick, can present challenges. Reported issues include a perceived lack of transparency regarding transfer criteria, limited clarity about decision-making processes, and instances of transfer denials without detailed explanations.</w:t>
      </w:r>
    </w:p>
    <w:p w14:paraId="1146D595" w14:textId="77777777" w:rsidR="0041441A" w:rsidRPr="0041441A" w:rsidRDefault="0041441A" w:rsidP="000B63A6">
      <w:pPr>
        <w:jc w:val="both"/>
        <w:rPr>
          <w:rFonts w:eastAsia="Times New Roman"/>
          <w:sz w:val="24"/>
          <w:szCs w:val="24"/>
        </w:rPr>
      </w:pPr>
      <w:r w:rsidRPr="0041441A">
        <w:rPr>
          <w:rFonts w:eastAsia="Times New Roman"/>
          <w:sz w:val="24"/>
          <w:szCs w:val="24"/>
        </w:rPr>
        <w:t>At the same time, it is recognized that individual schools and campuses operate within constraints such as enrollment capacity, accreditation standards, and resource limitations that may affect their ability to accept all qualified transfer applicants.</w:t>
      </w:r>
    </w:p>
    <w:p w14:paraId="71D9C790" w14:textId="77777777" w:rsidR="0041441A" w:rsidRPr="0041441A" w:rsidRDefault="0041441A" w:rsidP="000B63A6">
      <w:pPr>
        <w:jc w:val="both"/>
        <w:rPr>
          <w:rFonts w:eastAsia="Times New Roman"/>
          <w:sz w:val="24"/>
          <w:szCs w:val="24"/>
        </w:rPr>
      </w:pPr>
      <w:r w:rsidRPr="0041441A">
        <w:rPr>
          <w:rFonts w:eastAsia="Times New Roman"/>
          <w:sz w:val="24"/>
          <w:szCs w:val="24"/>
        </w:rPr>
        <w:t>A clear understanding of these processes and constraints, and the identification of potential areas for improved communication and consistency, can help ensure that transfer policies support both institutional goals and student success across Rutgers University.</w:t>
      </w:r>
    </w:p>
    <w:p w14:paraId="3D3E4F59" w14:textId="4AC9D314" w:rsidR="00FB1526" w:rsidRDefault="00FB1526" w:rsidP="002C0A4C">
      <w:pPr>
        <w:rPr>
          <w:rFonts w:eastAsia="Times New Roman"/>
          <w:sz w:val="24"/>
          <w:szCs w:val="24"/>
        </w:rPr>
      </w:pPr>
    </w:p>
    <w:p w14:paraId="2DE6A28B" w14:textId="6107C635" w:rsidR="00192388" w:rsidRDefault="00192388" w:rsidP="006E3488">
      <w:pPr>
        <w:rPr>
          <w:b/>
          <w:bCs/>
          <w:sz w:val="24"/>
          <w:szCs w:val="24"/>
        </w:rPr>
      </w:pPr>
      <w:r>
        <w:rPr>
          <w:b/>
          <w:bCs/>
          <w:sz w:val="24"/>
          <w:szCs w:val="24"/>
        </w:rPr>
        <w:t xml:space="preserve">Relevant </w:t>
      </w:r>
      <w:r w:rsidR="009F151D">
        <w:rPr>
          <w:b/>
          <w:bCs/>
          <w:sz w:val="24"/>
          <w:szCs w:val="24"/>
        </w:rPr>
        <w:t>path to inquiry that ASRAC may want to pursue</w:t>
      </w:r>
      <w:r>
        <w:rPr>
          <w:b/>
          <w:bCs/>
          <w:sz w:val="24"/>
          <w:szCs w:val="24"/>
        </w:rPr>
        <w:t xml:space="preserve">: </w:t>
      </w:r>
    </w:p>
    <w:p w14:paraId="07E1BA95" w14:textId="77777777" w:rsidR="0054795C" w:rsidRPr="0054795C" w:rsidRDefault="0054795C" w:rsidP="000B63A6">
      <w:pPr>
        <w:jc w:val="both"/>
        <w:rPr>
          <w:sz w:val="24"/>
          <w:szCs w:val="24"/>
        </w:rPr>
      </w:pPr>
      <w:r w:rsidRPr="0054795C">
        <w:rPr>
          <w:sz w:val="24"/>
          <w:szCs w:val="24"/>
        </w:rPr>
        <w:t>Potential questions to help guide the investigation/discussion:</w:t>
      </w:r>
    </w:p>
    <w:p w14:paraId="49251202" w14:textId="77777777" w:rsidR="0054795C" w:rsidRPr="0054795C" w:rsidRDefault="0054795C" w:rsidP="000B63A6">
      <w:pPr>
        <w:jc w:val="both"/>
        <w:rPr>
          <w:b/>
          <w:bCs/>
          <w:sz w:val="24"/>
          <w:szCs w:val="24"/>
        </w:rPr>
      </w:pPr>
      <w:r w:rsidRPr="0054795C">
        <w:rPr>
          <w:b/>
          <w:bCs/>
          <w:sz w:val="24"/>
          <w:szCs w:val="24"/>
        </w:rPr>
        <w:lastRenderedPageBreak/>
        <w:t>1. Understanding Current Policies and Procedures</w:t>
      </w:r>
    </w:p>
    <w:p w14:paraId="2E30A76D" w14:textId="77777777" w:rsidR="0054795C" w:rsidRPr="0054795C" w:rsidRDefault="0054795C" w:rsidP="000B63A6">
      <w:pPr>
        <w:numPr>
          <w:ilvl w:val="0"/>
          <w:numId w:val="2"/>
        </w:numPr>
        <w:jc w:val="both"/>
        <w:rPr>
          <w:sz w:val="24"/>
          <w:szCs w:val="24"/>
        </w:rPr>
      </w:pPr>
      <w:r w:rsidRPr="0054795C">
        <w:rPr>
          <w:sz w:val="24"/>
          <w:szCs w:val="24"/>
        </w:rPr>
        <w:t>What are the existing policies and procedures for school-to-school and campus-to-campus transfers within the university?</w:t>
      </w:r>
    </w:p>
    <w:p w14:paraId="1B93CC21" w14:textId="77777777" w:rsidR="0054795C" w:rsidRPr="0054795C" w:rsidRDefault="0054795C" w:rsidP="000B63A6">
      <w:pPr>
        <w:numPr>
          <w:ilvl w:val="0"/>
          <w:numId w:val="2"/>
        </w:numPr>
        <w:jc w:val="both"/>
        <w:rPr>
          <w:sz w:val="24"/>
          <w:szCs w:val="24"/>
        </w:rPr>
      </w:pPr>
      <w:r w:rsidRPr="0054795C">
        <w:rPr>
          <w:sz w:val="24"/>
          <w:szCs w:val="24"/>
        </w:rPr>
        <w:t>Who oversees and approves transfer applications, and what criteria are used for decision-making?</w:t>
      </w:r>
    </w:p>
    <w:p w14:paraId="100AC510" w14:textId="77777777" w:rsidR="0054795C" w:rsidRPr="0054795C" w:rsidRDefault="0054795C" w:rsidP="000B63A6">
      <w:pPr>
        <w:numPr>
          <w:ilvl w:val="0"/>
          <w:numId w:val="2"/>
        </w:numPr>
        <w:jc w:val="both"/>
        <w:rPr>
          <w:sz w:val="24"/>
          <w:szCs w:val="24"/>
        </w:rPr>
      </w:pPr>
      <w:r w:rsidRPr="0054795C">
        <w:rPr>
          <w:sz w:val="24"/>
          <w:szCs w:val="24"/>
        </w:rPr>
        <w:t>How often are transfer policies reviewed or updated, and by whom?</w:t>
      </w:r>
    </w:p>
    <w:p w14:paraId="0836BDB3" w14:textId="77777777" w:rsidR="0054795C" w:rsidRPr="0054795C" w:rsidRDefault="0054795C" w:rsidP="000B63A6">
      <w:pPr>
        <w:numPr>
          <w:ilvl w:val="0"/>
          <w:numId w:val="2"/>
        </w:numPr>
        <w:jc w:val="both"/>
        <w:rPr>
          <w:sz w:val="24"/>
          <w:szCs w:val="24"/>
        </w:rPr>
      </w:pPr>
      <w:r w:rsidRPr="0054795C">
        <w:rPr>
          <w:sz w:val="24"/>
          <w:szCs w:val="24"/>
        </w:rPr>
        <w:t>Are current procedures clearly documented and accessible to students and advisors?</w:t>
      </w:r>
    </w:p>
    <w:p w14:paraId="3718290F" w14:textId="77777777" w:rsidR="0054795C" w:rsidRPr="0054795C" w:rsidRDefault="0054795C" w:rsidP="000B63A6">
      <w:pPr>
        <w:jc w:val="both"/>
        <w:rPr>
          <w:b/>
          <w:bCs/>
          <w:sz w:val="24"/>
          <w:szCs w:val="24"/>
        </w:rPr>
      </w:pPr>
      <w:r w:rsidRPr="0054795C">
        <w:rPr>
          <w:b/>
          <w:bCs/>
          <w:sz w:val="24"/>
          <w:szCs w:val="24"/>
        </w:rPr>
        <w:t>2. Identifying Student Challenges</w:t>
      </w:r>
    </w:p>
    <w:p w14:paraId="34EC04A8" w14:textId="77777777" w:rsidR="0054795C" w:rsidRPr="0054795C" w:rsidRDefault="0054795C" w:rsidP="000B63A6">
      <w:pPr>
        <w:numPr>
          <w:ilvl w:val="0"/>
          <w:numId w:val="3"/>
        </w:numPr>
        <w:jc w:val="both"/>
        <w:rPr>
          <w:sz w:val="24"/>
          <w:szCs w:val="24"/>
        </w:rPr>
      </w:pPr>
      <w:r w:rsidRPr="0054795C">
        <w:rPr>
          <w:sz w:val="24"/>
          <w:szCs w:val="24"/>
        </w:rPr>
        <w:t>What common challenges do students report when attempting to transfer to another program or campus?</w:t>
      </w:r>
    </w:p>
    <w:p w14:paraId="5D7B838F" w14:textId="77777777" w:rsidR="0054795C" w:rsidRPr="0054795C" w:rsidRDefault="0054795C" w:rsidP="000B63A6">
      <w:pPr>
        <w:numPr>
          <w:ilvl w:val="0"/>
          <w:numId w:val="3"/>
        </w:numPr>
        <w:jc w:val="both"/>
        <w:rPr>
          <w:sz w:val="24"/>
          <w:szCs w:val="24"/>
        </w:rPr>
      </w:pPr>
      <w:r w:rsidRPr="0054795C">
        <w:rPr>
          <w:sz w:val="24"/>
          <w:szCs w:val="24"/>
        </w:rPr>
        <w:t>Are there barriers related to credit transfer, GPA requirements, prerequisite courses, or advising?</w:t>
      </w:r>
    </w:p>
    <w:p w14:paraId="6672FFAE" w14:textId="77777777" w:rsidR="0054795C" w:rsidRPr="0054795C" w:rsidRDefault="0054795C" w:rsidP="000B63A6">
      <w:pPr>
        <w:numPr>
          <w:ilvl w:val="0"/>
          <w:numId w:val="3"/>
        </w:numPr>
        <w:jc w:val="both"/>
        <w:rPr>
          <w:sz w:val="24"/>
          <w:szCs w:val="24"/>
        </w:rPr>
      </w:pPr>
      <w:r w:rsidRPr="0054795C">
        <w:rPr>
          <w:sz w:val="24"/>
          <w:szCs w:val="24"/>
        </w:rPr>
        <w:t>How do differences in program structures, capacity limits, or curricula affect students’ ability to transfer?</w:t>
      </w:r>
    </w:p>
    <w:p w14:paraId="64C7A447" w14:textId="77777777" w:rsidR="0054795C" w:rsidRDefault="0054795C" w:rsidP="000B63A6">
      <w:pPr>
        <w:numPr>
          <w:ilvl w:val="0"/>
          <w:numId w:val="3"/>
        </w:numPr>
        <w:jc w:val="both"/>
        <w:rPr>
          <w:sz w:val="24"/>
          <w:szCs w:val="24"/>
        </w:rPr>
      </w:pPr>
      <w:r w:rsidRPr="0054795C">
        <w:rPr>
          <w:sz w:val="24"/>
          <w:szCs w:val="24"/>
        </w:rPr>
        <w:t>How do students perceive the clarity and fairness of the transfer process?</w:t>
      </w:r>
    </w:p>
    <w:p w14:paraId="0491E3F1" w14:textId="77777777" w:rsidR="00B90E94" w:rsidRPr="0054795C" w:rsidRDefault="00B90E94" w:rsidP="000B63A6">
      <w:pPr>
        <w:numPr>
          <w:ilvl w:val="0"/>
          <w:numId w:val="3"/>
        </w:numPr>
        <w:jc w:val="both"/>
        <w:rPr>
          <w:sz w:val="24"/>
          <w:szCs w:val="24"/>
        </w:rPr>
      </w:pPr>
      <w:r w:rsidRPr="00B90E94">
        <w:rPr>
          <w:sz w:val="24"/>
          <w:szCs w:val="24"/>
        </w:rPr>
        <w:t>What are the specific school requirements (as they are different for most schools), is this information in a central location</w:t>
      </w:r>
      <w:r>
        <w:rPr>
          <w:sz w:val="24"/>
          <w:szCs w:val="24"/>
        </w:rPr>
        <w:t xml:space="preserve"> for students to access easily?</w:t>
      </w:r>
    </w:p>
    <w:p w14:paraId="59F6317A" w14:textId="77777777" w:rsidR="0054795C" w:rsidRPr="0054795C" w:rsidRDefault="0054795C" w:rsidP="000B63A6">
      <w:pPr>
        <w:jc w:val="both"/>
        <w:rPr>
          <w:b/>
          <w:bCs/>
          <w:sz w:val="24"/>
          <w:szCs w:val="24"/>
        </w:rPr>
      </w:pPr>
      <w:r w:rsidRPr="0054795C">
        <w:rPr>
          <w:b/>
          <w:bCs/>
          <w:sz w:val="24"/>
          <w:szCs w:val="24"/>
        </w:rPr>
        <w:t>3. Communication, Advising, and Transparency</w:t>
      </w:r>
    </w:p>
    <w:p w14:paraId="54D4EE8F" w14:textId="4FE78963" w:rsidR="0054795C" w:rsidRDefault="0054795C" w:rsidP="000B63A6">
      <w:pPr>
        <w:numPr>
          <w:ilvl w:val="0"/>
          <w:numId w:val="4"/>
        </w:numPr>
        <w:jc w:val="both"/>
        <w:rPr>
          <w:sz w:val="24"/>
          <w:szCs w:val="24"/>
        </w:rPr>
      </w:pPr>
      <w:r w:rsidRPr="0054795C">
        <w:rPr>
          <w:sz w:val="24"/>
          <w:szCs w:val="24"/>
        </w:rPr>
        <w:t>How and when are students informed about transfer opportunities and requirements?</w:t>
      </w:r>
      <w:r w:rsidR="009F151D">
        <w:rPr>
          <w:sz w:val="24"/>
          <w:szCs w:val="24"/>
        </w:rPr>
        <w:t xml:space="preserve"> For example, w</w:t>
      </w:r>
      <w:r w:rsidR="009F151D" w:rsidRPr="009F151D">
        <w:rPr>
          <w:sz w:val="24"/>
          <w:szCs w:val="24"/>
        </w:rPr>
        <w:t xml:space="preserve">here is the </w:t>
      </w:r>
      <w:r w:rsidR="00B90E94" w:rsidRPr="009F151D">
        <w:rPr>
          <w:sz w:val="24"/>
          <w:szCs w:val="24"/>
        </w:rPr>
        <w:t>school-to-school</w:t>
      </w:r>
      <w:r w:rsidR="009F151D" w:rsidRPr="009F151D">
        <w:rPr>
          <w:sz w:val="24"/>
          <w:szCs w:val="24"/>
        </w:rPr>
        <w:t xml:space="preserve"> transfer process explained</w:t>
      </w:r>
      <w:r w:rsidR="009F151D">
        <w:rPr>
          <w:sz w:val="24"/>
          <w:szCs w:val="24"/>
        </w:rPr>
        <w:t xml:space="preserve"> in each campus? </w:t>
      </w:r>
    </w:p>
    <w:p w14:paraId="07D0CA9B" w14:textId="77777777" w:rsidR="0054795C" w:rsidRPr="0054795C" w:rsidRDefault="0054795C" w:rsidP="000B63A6">
      <w:pPr>
        <w:numPr>
          <w:ilvl w:val="0"/>
          <w:numId w:val="4"/>
        </w:numPr>
        <w:jc w:val="both"/>
        <w:rPr>
          <w:sz w:val="24"/>
          <w:szCs w:val="24"/>
        </w:rPr>
      </w:pPr>
      <w:r w:rsidRPr="0054795C">
        <w:rPr>
          <w:sz w:val="24"/>
          <w:szCs w:val="24"/>
        </w:rPr>
        <w:t>What role do academic advisors play in supporting students through the transfer process?</w:t>
      </w:r>
    </w:p>
    <w:p w14:paraId="6FF949F0" w14:textId="3A5EE454" w:rsidR="0054795C" w:rsidRPr="0054795C" w:rsidRDefault="0054795C" w:rsidP="000B63A6">
      <w:pPr>
        <w:numPr>
          <w:ilvl w:val="0"/>
          <w:numId w:val="4"/>
        </w:numPr>
        <w:jc w:val="both"/>
        <w:rPr>
          <w:sz w:val="24"/>
          <w:szCs w:val="24"/>
        </w:rPr>
      </w:pPr>
      <w:r w:rsidRPr="0054795C">
        <w:rPr>
          <w:sz w:val="24"/>
          <w:szCs w:val="24"/>
        </w:rPr>
        <w:t>Are there clear, centralized resources (e.g., websites, checklists, advising materials) that guide students through the process?</w:t>
      </w:r>
      <w:r w:rsidR="00B90E94">
        <w:rPr>
          <w:sz w:val="24"/>
          <w:szCs w:val="24"/>
        </w:rPr>
        <w:t xml:space="preserve"> W</w:t>
      </w:r>
      <w:r w:rsidR="00B90E94" w:rsidRPr="00B90E94">
        <w:rPr>
          <w:sz w:val="24"/>
          <w:szCs w:val="24"/>
        </w:rPr>
        <w:t xml:space="preserve">hat is the primary place </w:t>
      </w:r>
      <w:r w:rsidR="00B90E94">
        <w:rPr>
          <w:sz w:val="24"/>
          <w:szCs w:val="24"/>
        </w:rPr>
        <w:t xml:space="preserve">students should contact </w:t>
      </w:r>
      <w:r w:rsidR="00B90E94" w:rsidRPr="00B90E94">
        <w:rPr>
          <w:sz w:val="24"/>
          <w:szCs w:val="24"/>
        </w:rPr>
        <w:t>for the transferring on admissions</w:t>
      </w:r>
      <w:r w:rsidR="00B90E94">
        <w:rPr>
          <w:sz w:val="24"/>
          <w:szCs w:val="24"/>
        </w:rPr>
        <w:t>?</w:t>
      </w:r>
    </w:p>
    <w:p w14:paraId="49966DC7" w14:textId="77777777" w:rsidR="0054795C" w:rsidRPr="0054795C" w:rsidRDefault="0054795C" w:rsidP="000B63A6">
      <w:pPr>
        <w:jc w:val="both"/>
        <w:rPr>
          <w:b/>
          <w:bCs/>
          <w:sz w:val="24"/>
          <w:szCs w:val="24"/>
        </w:rPr>
      </w:pPr>
      <w:r w:rsidRPr="0054795C">
        <w:rPr>
          <w:b/>
          <w:bCs/>
          <w:sz w:val="24"/>
          <w:szCs w:val="24"/>
        </w:rPr>
        <w:t>4. Data and Outcomes</w:t>
      </w:r>
    </w:p>
    <w:p w14:paraId="2AFE5338" w14:textId="77777777" w:rsidR="0054795C" w:rsidRPr="0054795C" w:rsidRDefault="0054795C" w:rsidP="000B63A6">
      <w:pPr>
        <w:numPr>
          <w:ilvl w:val="0"/>
          <w:numId w:val="5"/>
        </w:numPr>
        <w:jc w:val="both"/>
        <w:rPr>
          <w:sz w:val="24"/>
          <w:szCs w:val="24"/>
        </w:rPr>
      </w:pPr>
      <w:r w:rsidRPr="0054795C">
        <w:rPr>
          <w:sz w:val="24"/>
          <w:szCs w:val="24"/>
        </w:rPr>
        <w:t>How many students request intra-university transfers each year, and what proportion are approved or denied?</w:t>
      </w:r>
    </w:p>
    <w:p w14:paraId="79CB62B5" w14:textId="77777777" w:rsidR="0054795C" w:rsidRPr="0054795C" w:rsidRDefault="0054795C" w:rsidP="000B63A6">
      <w:pPr>
        <w:numPr>
          <w:ilvl w:val="0"/>
          <w:numId w:val="5"/>
        </w:numPr>
        <w:jc w:val="both"/>
        <w:rPr>
          <w:sz w:val="24"/>
          <w:szCs w:val="24"/>
        </w:rPr>
      </w:pPr>
      <w:r w:rsidRPr="0054795C">
        <w:rPr>
          <w:sz w:val="24"/>
          <w:szCs w:val="24"/>
        </w:rPr>
        <w:t>Are there patterns or trends in the data (e.g., by school, major, GPA, demographic background)?</w:t>
      </w:r>
    </w:p>
    <w:p w14:paraId="0A96B204" w14:textId="77777777" w:rsidR="0054795C" w:rsidRPr="0054795C" w:rsidRDefault="0054795C" w:rsidP="000B63A6">
      <w:pPr>
        <w:numPr>
          <w:ilvl w:val="0"/>
          <w:numId w:val="5"/>
        </w:numPr>
        <w:jc w:val="both"/>
        <w:rPr>
          <w:sz w:val="24"/>
          <w:szCs w:val="24"/>
        </w:rPr>
      </w:pPr>
      <w:r w:rsidRPr="0054795C">
        <w:rPr>
          <w:sz w:val="24"/>
          <w:szCs w:val="24"/>
        </w:rPr>
        <w:t>What impact do transfers have on students’ time to degree completion or retention?</w:t>
      </w:r>
    </w:p>
    <w:p w14:paraId="52380B75" w14:textId="77777777" w:rsidR="0054795C" w:rsidRDefault="0054795C" w:rsidP="000B63A6">
      <w:pPr>
        <w:numPr>
          <w:ilvl w:val="0"/>
          <w:numId w:val="5"/>
        </w:numPr>
        <w:jc w:val="both"/>
        <w:rPr>
          <w:sz w:val="24"/>
          <w:szCs w:val="24"/>
        </w:rPr>
      </w:pPr>
      <w:r w:rsidRPr="0054795C">
        <w:rPr>
          <w:sz w:val="24"/>
          <w:szCs w:val="24"/>
        </w:rPr>
        <w:t>What feedback or complaints have been documented regarding the transfer process?</w:t>
      </w:r>
    </w:p>
    <w:p w14:paraId="18B6B243" w14:textId="69361026" w:rsidR="00651EEC" w:rsidRPr="00651EEC" w:rsidRDefault="00651EEC" w:rsidP="000B63A6">
      <w:pPr>
        <w:numPr>
          <w:ilvl w:val="0"/>
          <w:numId w:val="5"/>
        </w:numPr>
        <w:jc w:val="both"/>
        <w:rPr>
          <w:b/>
          <w:bCs/>
          <w:sz w:val="24"/>
          <w:szCs w:val="24"/>
        </w:rPr>
      </w:pPr>
      <w:r w:rsidRPr="00651EEC">
        <w:rPr>
          <w:sz w:val="24"/>
          <w:szCs w:val="24"/>
        </w:rPr>
        <w:lastRenderedPageBreak/>
        <w:t xml:space="preserve">How often does a school-to-school transfer result in a student needing more than </w:t>
      </w:r>
      <w:proofErr w:type="gramStart"/>
      <w:r w:rsidRPr="00651EEC">
        <w:rPr>
          <w:sz w:val="24"/>
          <w:szCs w:val="24"/>
        </w:rPr>
        <w:t>4-years</w:t>
      </w:r>
      <w:proofErr w:type="gramEnd"/>
      <w:r w:rsidRPr="00651EEC">
        <w:rPr>
          <w:sz w:val="24"/>
          <w:szCs w:val="24"/>
        </w:rPr>
        <w:t xml:space="preserve"> to complete a degree (e.g. perhaps due to difference in the Core requirements or major requirements, etc.) </w:t>
      </w:r>
    </w:p>
    <w:p w14:paraId="4B1C76B2" w14:textId="1D4FC7F5" w:rsidR="0054795C" w:rsidRPr="00651EEC" w:rsidRDefault="0054795C" w:rsidP="000B63A6">
      <w:pPr>
        <w:ind w:left="360"/>
        <w:jc w:val="both"/>
        <w:rPr>
          <w:b/>
          <w:bCs/>
          <w:sz w:val="24"/>
          <w:szCs w:val="24"/>
        </w:rPr>
      </w:pPr>
      <w:r w:rsidRPr="00651EEC">
        <w:rPr>
          <w:b/>
          <w:bCs/>
          <w:sz w:val="24"/>
          <w:szCs w:val="24"/>
        </w:rPr>
        <w:t>5. Recommendations and Improvement Opportunities</w:t>
      </w:r>
    </w:p>
    <w:p w14:paraId="1E0279C9" w14:textId="77777777" w:rsidR="0054795C" w:rsidRPr="0054795C" w:rsidRDefault="0054795C" w:rsidP="000B63A6">
      <w:pPr>
        <w:numPr>
          <w:ilvl w:val="0"/>
          <w:numId w:val="6"/>
        </w:numPr>
        <w:jc w:val="both"/>
        <w:rPr>
          <w:sz w:val="24"/>
          <w:szCs w:val="24"/>
        </w:rPr>
      </w:pPr>
      <w:r w:rsidRPr="0054795C">
        <w:rPr>
          <w:sz w:val="24"/>
          <w:szCs w:val="24"/>
        </w:rPr>
        <w:t>What best practices from peer institutions could inform improvements to the transfer process?</w:t>
      </w:r>
    </w:p>
    <w:p w14:paraId="6006D5CE" w14:textId="77777777" w:rsidR="0054795C" w:rsidRPr="0054795C" w:rsidRDefault="0054795C" w:rsidP="000B63A6">
      <w:pPr>
        <w:numPr>
          <w:ilvl w:val="0"/>
          <w:numId w:val="6"/>
        </w:numPr>
        <w:jc w:val="both"/>
        <w:rPr>
          <w:sz w:val="24"/>
          <w:szCs w:val="24"/>
        </w:rPr>
      </w:pPr>
      <w:r w:rsidRPr="0054795C">
        <w:rPr>
          <w:sz w:val="24"/>
          <w:szCs w:val="24"/>
        </w:rPr>
        <w:t>How can the university better ensure consistency and transparency across schools and campuses?</w:t>
      </w:r>
    </w:p>
    <w:p w14:paraId="01452C1D" w14:textId="77777777" w:rsidR="0054795C" w:rsidRPr="0054795C" w:rsidRDefault="0054795C" w:rsidP="000B63A6">
      <w:pPr>
        <w:numPr>
          <w:ilvl w:val="0"/>
          <w:numId w:val="6"/>
        </w:numPr>
        <w:jc w:val="both"/>
        <w:rPr>
          <w:sz w:val="24"/>
          <w:szCs w:val="24"/>
        </w:rPr>
      </w:pPr>
      <w:r w:rsidRPr="0054795C">
        <w:rPr>
          <w:sz w:val="24"/>
          <w:szCs w:val="24"/>
        </w:rPr>
        <w:t>What technological or procedural changes could streamline the process for both students and administrators?</w:t>
      </w:r>
    </w:p>
    <w:p w14:paraId="55B9F3B4" w14:textId="77777777" w:rsidR="0054795C" w:rsidRPr="0054795C" w:rsidRDefault="0054795C" w:rsidP="000B63A6">
      <w:pPr>
        <w:numPr>
          <w:ilvl w:val="0"/>
          <w:numId w:val="6"/>
        </w:numPr>
        <w:jc w:val="both"/>
        <w:rPr>
          <w:sz w:val="24"/>
          <w:szCs w:val="24"/>
        </w:rPr>
      </w:pPr>
      <w:r w:rsidRPr="0054795C">
        <w:rPr>
          <w:sz w:val="24"/>
          <w:szCs w:val="24"/>
        </w:rPr>
        <w:t>How might the university better support students before, during, and after a transfer to promote academic success and belonging?</w:t>
      </w:r>
    </w:p>
    <w:p w14:paraId="6FD0FD00" w14:textId="01A2F509" w:rsidR="000B1E65" w:rsidRPr="000B1E65" w:rsidRDefault="000B1E65" w:rsidP="000B63A6">
      <w:pPr>
        <w:jc w:val="both"/>
        <w:rPr>
          <w:sz w:val="24"/>
          <w:szCs w:val="24"/>
        </w:rPr>
      </w:pPr>
    </w:p>
    <w:sectPr w:rsidR="000B1E65" w:rsidRPr="000B1E6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854FB" w14:textId="77777777" w:rsidR="0025085B" w:rsidRDefault="0025085B" w:rsidP="006D4318">
      <w:pPr>
        <w:spacing w:after="0" w:line="240" w:lineRule="auto"/>
      </w:pPr>
      <w:r>
        <w:separator/>
      </w:r>
    </w:p>
  </w:endnote>
  <w:endnote w:type="continuationSeparator" w:id="0">
    <w:p w14:paraId="777F8252" w14:textId="77777777" w:rsidR="0025085B" w:rsidRDefault="0025085B" w:rsidP="006D4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B47C9" w14:textId="77777777" w:rsidR="0025085B" w:rsidRDefault="0025085B" w:rsidP="006D4318">
      <w:pPr>
        <w:spacing w:after="0" w:line="240" w:lineRule="auto"/>
      </w:pPr>
      <w:r>
        <w:separator/>
      </w:r>
    </w:p>
  </w:footnote>
  <w:footnote w:type="continuationSeparator" w:id="0">
    <w:p w14:paraId="71E98594" w14:textId="77777777" w:rsidR="0025085B" w:rsidRDefault="0025085B" w:rsidP="006D4318">
      <w:pPr>
        <w:spacing w:after="0" w:line="240" w:lineRule="auto"/>
      </w:pPr>
      <w:r>
        <w:continuationSeparator/>
      </w:r>
    </w:p>
  </w:footnote>
  <w:footnote w:id="1">
    <w:p w14:paraId="5862C925" w14:textId="58F5D26A" w:rsidR="006D4318" w:rsidRDefault="006D4318">
      <w:pPr>
        <w:pStyle w:val="FootnoteText"/>
      </w:pPr>
      <w:r>
        <w:rPr>
          <w:rStyle w:val="FootnoteReference"/>
        </w:rPr>
        <w:footnoteRef/>
      </w:r>
      <w:r>
        <w:t xml:space="preserve"> “campus” refers to the following campuses: Rutgers–New Brunswick, Rutgers–Newark, and Rutgers-Camden.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568FE"/>
    <w:multiLevelType w:val="multilevel"/>
    <w:tmpl w:val="6FEA01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0F5E5D"/>
    <w:multiLevelType w:val="hybridMultilevel"/>
    <w:tmpl w:val="A9A0F0EE"/>
    <w:lvl w:ilvl="0" w:tplc="4C0CEE5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1E000D"/>
    <w:multiLevelType w:val="multilevel"/>
    <w:tmpl w:val="1DC223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1C2A38"/>
    <w:multiLevelType w:val="multilevel"/>
    <w:tmpl w:val="DFD8F9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F35587"/>
    <w:multiLevelType w:val="multilevel"/>
    <w:tmpl w:val="E98E7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F3155E"/>
    <w:multiLevelType w:val="multilevel"/>
    <w:tmpl w:val="B882D1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309630194">
    <w:abstractNumId w:val="1"/>
  </w:num>
  <w:num w:numId="2" w16cid:durableId="1912962162">
    <w:abstractNumId w:val="4"/>
  </w:num>
  <w:num w:numId="3" w16cid:durableId="276371283">
    <w:abstractNumId w:val="5"/>
  </w:num>
  <w:num w:numId="4" w16cid:durableId="1135369201">
    <w:abstractNumId w:val="3"/>
  </w:num>
  <w:num w:numId="5" w16cid:durableId="2042125620">
    <w:abstractNumId w:val="2"/>
  </w:num>
  <w:num w:numId="6" w16cid:durableId="725952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488"/>
    <w:rsid w:val="000B1E65"/>
    <w:rsid w:val="000B63A6"/>
    <w:rsid w:val="00192388"/>
    <w:rsid w:val="001C0256"/>
    <w:rsid w:val="001E71BB"/>
    <w:rsid w:val="00236F8F"/>
    <w:rsid w:val="0025085B"/>
    <w:rsid w:val="002C0A4C"/>
    <w:rsid w:val="00314107"/>
    <w:rsid w:val="0041441A"/>
    <w:rsid w:val="004E4D63"/>
    <w:rsid w:val="0054795C"/>
    <w:rsid w:val="00565137"/>
    <w:rsid w:val="0056799E"/>
    <w:rsid w:val="005E6F72"/>
    <w:rsid w:val="00651EEC"/>
    <w:rsid w:val="00681EF9"/>
    <w:rsid w:val="006D4318"/>
    <w:rsid w:val="006E3488"/>
    <w:rsid w:val="00870586"/>
    <w:rsid w:val="008D0FAB"/>
    <w:rsid w:val="00924448"/>
    <w:rsid w:val="009F151D"/>
    <w:rsid w:val="00A21768"/>
    <w:rsid w:val="00A32BA7"/>
    <w:rsid w:val="00B90E94"/>
    <w:rsid w:val="00CA58FB"/>
    <w:rsid w:val="00CA6879"/>
    <w:rsid w:val="00EB32CB"/>
    <w:rsid w:val="00FB1526"/>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B3686"/>
  <w15:chartTrackingRefBased/>
  <w15:docId w15:val="{5B2D92FA-41EF-4ED6-8652-D82479A1B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34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34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348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348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E348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E348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E348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E348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E348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34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34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348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348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E348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E348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E348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E348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E348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E34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34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348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348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E3488"/>
    <w:pPr>
      <w:spacing w:before="160"/>
      <w:jc w:val="center"/>
    </w:pPr>
    <w:rPr>
      <w:i/>
      <w:iCs/>
      <w:color w:val="404040" w:themeColor="text1" w:themeTint="BF"/>
    </w:rPr>
  </w:style>
  <w:style w:type="character" w:customStyle="1" w:styleId="QuoteChar">
    <w:name w:val="Quote Char"/>
    <w:basedOn w:val="DefaultParagraphFont"/>
    <w:link w:val="Quote"/>
    <w:uiPriority w:val="29"/>
    <w:rsid w:val="006E3488"/>
    <w:rPr>
      <w:i/>
      <w:iCs/>
      <w:color w:val="404040" w:themeColor="text1" w:themeTint="BF"/>
    </w:rPr>
  </w:style>
  <w:style w:type="paragraph" w:styleId="ListParagraph">
    <w:name w:val="List Paragraph"/>
    <w:basedOn w:val="Normal"/>
    <w:uiPriority w:val="34"/>
    <w:qFormat/>
    <w:rsid w:val="006E3488"/>
    <w:pPr>
      <w:ind w:left="720"/>
      <w:contextualSpacing/>
    </w:pPr>
  </w:style>
  <w:style w:type="character" w:styleId="IntenseEmphasis">
    <w:name w:val="Intense Emphasis"/>
    <w:basedOn w:val="DefaultParagraphFont"/>
    <w:uiPriority w:val="21"/>
    <w:qFormat/>
    <w:rsid w:val="006E3488"/>
    <w:rPr>
      <w:i/>
      <w:iCs/>
      <w:color w:val="0F4761" w:themeColor="accent1" w:themeShade="BF"/>
    </w:rPr>
  </w:style>
  <w:style w:type="paragraph" w:styleId="IntenseQuote">
    <w:name w:val="Intense Quote"/>
    <w:basedOn w:val="Normal"/>
    <w:next w:val="Normal"/>
    <w:link w:val="IntenseQuoteChar"/>
    <w:uiPriority w:val="30"/>
    <w:qFormat/>
    <w:rsid w:val="006E34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3488"/>
    <w:rPr>
      <w:i/>
      <w:iCs/>
      <w:color w:val="0F4761" w:themeColor="accent1" w:themeShade="BF"/>
    </w:rPr>
  </w:style>
  <w:style w:type="character" w:styleId="IntenseReference">
    <w:name w:val="Intense Reference"/>
    <w:basedOn w:val="DefaultParagraphFont"/>
    <w:uiPriority w:val="32"/>
    <w:qFormat/>
    <w:rsid w:val="006E3488"/>
    <w:rPr>
      <w:b/>
      <w:bCs/>
      <w:smallCaps/>
      <w:color w:val="0F4761" w:themeColor="accent1" w:themeShade="BF"/>
      <w:spacing w:val="5"/>
    </w:rPr>
  </w:style>
  <w:style w:type="character" w:styleId="CommentReference">
    <w:name w:val="annotation reference"/>
    <w:basedOn w:val="DefaultParagraphFont"/>
    <w:uiPriority w:val="99"/>
    <w:semiHidden/>
    <w:unhideWhenUsed/>
    <w:rsid w:val="0056799E"/>
    <w:rPr>
      <w:sz w:val="16"/>
      <w:szCs w:val="16"/>
    </w:rPr>
  </w:style>
  <w:style w:type="paragraph" w:styleId="CommentText">
    <w:name w:val="annotation text"/>
    <w:basedOn w:val="Normal"/>
    <w:link w:val="CommentTextChar"/>
    <w:uiPriority w:val="99"/>
    <w:unhideWhenUsed/>
    <w:rsid w:val="0056799E"/>
    <w:pPr>
      <w:spacing w:line="240" w:lineRule="auto"/>
    </w:pPr>
    <w:rPr>
      <w:sz w:val="20"/>
      <w:szCs w:val="20"/>
    </w:rPr>
  </w:style>
  <w:style w:type="character" w:customStyle="1" w:styleId="CommentTextChar">
    <w:name w:val="Comment Text Char"/>
    <w:basedOn w:val="DefaultParagraphFont"/>
    <w:link w:val="CommentText"/>
    <w:uiPriority w:val="99"/>
    <w:rsid w:val="0056799E"/>
    <w:rPr>
      <w:sz w:val="20"/>
      <w:szCs w:val="20"/>
    </w:rPr>
  </w:style>
  <w:style w:type="paragraph" w:styleId="CommentSubject">
    <w:name w:val="annotation subject"/>
    <w:basedOn w:val="CommentText"/>
    <w:next w:val="CommentText"/>
    <w:link w:val="CommentSubjectChar"/>
    <w:uiPriority w:val="99"/>
    <w:semiHidden/>
    <w:unhideWhenUsed/>
    <w:rsid w:val="0056799E"/>
    <w:rPr>
      <w:b/>
      <w:bCs/>
    </w:rPr>
  </w:style>
  <w:style w:type="character" w:customStyle="1" w:styleId="CommentSubjectChar">
    <w:name w:val="Comment Subject Char"/>
    <w:basedOn w:val="CommentTextChar"/>
    <w:link w:val="CommentSubject"/>
    <w:uiPriority w:val="99"/>
    <w:semiHidden/>
    <w:rsid w:val="0056799E"/>
    <w:rPr>
      <w:b/>
      <w:bCs/>
      <w:sz w:val="20"/>
      <w:szCs w:val="20"/>
    </w:rPr>
  </w:style>
  <w:style w:type="paragraph" w:styleId="FootnoteText">
    <w:name w:val="footnote text"/>
    <w:basedOn w:val="Normal"/>
    <w:link w:val="FootnoteTextChar"/>
    <w:uiPriority w:val="99"/>
    <w:semiHidden/>
    <w:unhideWhenUsed/>
    <w:rsid w:val="006D43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4318"/>
    <w:rPr>
      <w:sz w:val="20"/>
      <w:szCs w:val="20"/>
    </w:rPr>
  </w:style>
  <w:style w:type="character" w:styleId="FootnoteReference">
    <w:name w:val="footnote reference"/>
    <w:basedOn w:val="DefaultParagraphFont"/>
    <w:uiPriority w:val="99"/>
    <w:semiHidden/>
    <w:unhideWhenUsed/>
    <w:rsid w:val="006D43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308760">
      <w:bodyDiv w:val="1"/>
      <w:marLeft w:val="0"/>
      <w:marRight w:val="0"/>
      <w:marTop w:val="0"/>
      <w:marBottom w:val="0"/>
      <w:divBdr>
        <w:top w:val="none" w:sz="0" w:space="0" w:color="auto"/>
        <w:left w:val="none" w:sz="0" w:space="0" w:color="auto"/>
        <w:bottom w:val="none" w:sz="0" w:space="0" w:color="auto"/>
        <w:right w:val="none" w:sz="0" w:space="0" w:color="auto"/>
      </w:divBdr>
    </w:div>
    <w:div w:id="879702814">
      <w:bodyDiv w:val="1"/>
      <w:marLeft w:val="0"/>
      <w:marRight w:val="0"/>
      <w:marTop w:val="0"/>
      <w:marBottom w:val="0"/>
      <w:divBdr>
        <w:top w:val="none" w:sz="0" w:space="0" w:color="auto"/>
        <w:left w:val="none" w:sz="0" w:space="0" w:color="auto"/>
        <w:bottom w:val="none" w:sz="0" w:space="0" w:color="auto"/>
        <w:right w:val="none" w:sz="0" w:space="0" w:color="auto"/>
      </w:divBdr>
    </w:div>
    <w:div w:id="1038162359">
      <w:bodyDiv w:val="1"/>
      <w:marLeft w:val="0"/>
      <w:marRight w:val="0"/>
      <w:marTop w:val="0"/>
      <w:marBottom w:val="0"/>
      <w:divBdr>
        <w:top w:val="none" w:sz="0" w:space="0" w:color="auto"/>
        <w:left w:val="none" w:sz="0" w:space="0" w:color="auto"/>
        <w:bottom w:val="none" w:sz="0" w:space="0" w:color="auto"/>
        <w:right w:val="none" w:sz="0" w:space="0" w:color="auto"/>
      </w:divBdr>
    </w:div>
    <w:div w:id="1341814853">
      <w:bodyDiv w:val="1"/>
      <w:marLeft w:val="0"/>
      <w:marRight w:val="0"/>
      <w:marTop w:val="0"/>
      <w:marBottom w:val="0"/>
      <w:divBdr>
        <w:top w:val="none" w:sz="0" w:space="0" w:color="auto"/>
        <w:left w:val="none" w:sz="0" w:space="0" w:color="auto"/>
        <w:bottom w:val="none" w:sz="0" w:space="0" w:color="auto"/>
        <w:right w:val="none" w:sz="0" w:space="0" w:color="auto"/>
      </w:divBdr>
    </w:div>
    <w:div w:id="1793130549">
      <w:bodyDiv w:val="1"/>
      <w:marLeft w:val="0"/>
      <w:marRight w:val="0"/>
      <w:marTop w:val="0"/>
      <w:marBottom w:val="0"/>
      <w:divBdr>
        <w:top w:val="none" w:sz="0" w:space="0" w:color="auto"/>
        <w:left w:val="none" w:sz="0" w:space="0" w:color="auto"/>
        <w:bottom w:val="none" w:sz="0" w:space="0" w:color="auto"/>
        <w:right w:val="none" w:sz="0" w:space="0" w:color="auto"/>
      </w:divBdr>
    </w:div>
    <w:div w:id="2137597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3199F0-B4E6-4C0D-B73A-65B5733AD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770</Words>
  <Characters>4390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Sanjib Bhuyan</dc:creator>
  <cp:keywords/>
  <dc:description/>
  <cp:lastModifiedBy>Sanjib Bhuyan</cp:lastModifiedBy>
  <cp:revision>7</cp:revision>
  <dcterms:created xsi:type="dcterms:W3CDTF">2025-11-04T16:30:00Z</dcterms:created>
  <dcterms:modified xsi:type="dcterms:W3CDTF">2025-11-04T23:12:00Z</dcterms:modified>
</cp:coreProperties>
</file>