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E735" w14:textId="2BDE71F4" w:rsidR="00B33E51" w:rsidRDefault="00B33E51" w:rsidP="00B33E51">
      <w:pPr>
        <w:spacing w:after="0" w:line="240" w:lineRule="auto"/>
        <w:rPr>
          <w:rFonts w:ascii="Times New Roman" w:hAnsi="Times New Roman" w:cs="Times New Roman"/>
          <w:b/>
          <w:bCs/>
          <w:sz w:val="24"/>
          <w:szCs w:val="24"/>
        </w:rPr>
      </w:pPr>
      <w:r w:rsidRPr="00562563">
        <w:rPr>
          <w:rFonts w:ascii="Times New Roman" w:hAnsi="Times New Roman" w:cs="Times New Roman"/>
          <w:b/>
          <w:bCs/>
          <w:sz w:val="24"/>
          <w:szCs w:val="24"/>
        </w:rPr>
        <w:t>USGC Work Program 2025/26</w:t>
      </w:r>
      <w:r>
        <w:rPr>
          <w:rFonts w:ascii="Times New Roman" w:hAnsi="Times New Roman" w:cs="Times New Roman"/>
          <w:b/>
          <w:bCs/>
          <w:sz w:val="24"/>
          <w:szCs w:val="24"/>
        </w:rPr>
        <w:t>: NEW DUE DATES SOUGHT FROM EC (Feb. 6, 2026)</w:t>
      </w:r>
    </w:p>
    <w:p w14:paraId="5DC4BB7C" w14:textId="77777777" w:rsidR="00B33E51" w:rsidRPr="00562563" w:rsidRDefault="00B33E51" w:rsidP="00B33E51">
      <w:pPr>
        <w:spacing w:after="0" w:line="240" w:lineRule="auto"/>
        <w:rPr>
          <w:rFonts w:ascii="Times New Roman" w:hAnsi="Times New Roman" w:cs="Times New Roman"/>
          <w:color w:val="242424"/>
          <w:sz w:val="24"/>
          <w:szCs w:val="24"/>
        </w:rPr>
      </w:pPr>
      <w:hyperlink r:id="rId4" w:history="1">
        <w:r w:rsidRPr="00562563">
          <w:rPr>
            <w:rStyle w:val="Hyperlink"/>
            <w:rFonts w:ascii="Times New Roman" w:hAnsi="Times New Roman" w:cs="Times New Roman"/>
            <w:sz w:val="24"/>
            <w:szCs w:val="24"/>
          </w:rPr>
          <w:t>https://senate.rutgers.edu/committees/2025-26-university-structure-and-governance-committee/</w:t>
        </w:r>
      </w:hyperlink>
    </w:p>
    <w:p w14:paraId="5F597F14" w14:textId="77777777" w:rsidR="00B33E51" w:rsidRPr="00562563" w:rsidRDefault="00B33E51" w:rsidP="00B33E51">
      <w:pPr>
        <w:spacing w:after="0" w:line="240" w:lineRule="auto"/>
        <w:rPr>
          <w:rFonts w:ascii="Times New Roman" w:hAnsi="Times New Roman" w:cs="Times New Roman"/>
          <w:sz w:val="24"/>
          <w:szCs w:val="24"/>
        </w:rPr>
      </w:pPr>
    </w:p>
    <w:tbl>
      <w:tblPr>
        <w:tblStyle w:val="TableGrid"/>
        <w:tblW w:w="9540" w:type="dxa"/>
        <w:tblInd w:w="-5" w:type="dxa"/>
        <w:tblLook w:val="04A0" w:firstRow="1" w:lastRow="0" w:firstColumn="1" w:lastColumn="0" w:noHBand="0" w:noVBand="1"/>
      </w:tblPr>
      <w:tblGrid>
        <w:gridCol w:w="6750"/>
        <w:gridCol w:w="2790"/>
      </w:tblGrid>
      <w:tr w:rsidR="00B33E51" w:rsidRPr="00562563" w14:paraId="7C8618AA" w14:textId="77777777" w:rsidTr="009668F6">
        <w:tc>
          <w:tcPr>
            <w:tcW w:w="9540" w:type="dxa"/>
            <w:gridSpan w:val="2"/>
          </w:tcPr>
          <w:p w14:paraId="076D05D9" w14:textId="77777777" w:rsidR="00B33E51" w:rsidRPr="0076488C" w:rsidRDefault="00B33E51" w:rsidP="009668F6">
            <w:pPr>
              <w:jc w:val="center"/>
              <w:rPr>
                <w:rFonts w:ascii="Times New Roman" w:hAnsi="Times New Roman" w:cs="Times New Roman"/>
                <w:b/>
                <w:bCs/>
                <w:sz w:val="16"/>
                <w:szCs w:val="16"/>
              </w:rPr>
            </w:pPr>
            <w:r w:rsidRPr="0076488C">
              <w:rPr>
                <w:rFonts w:ascii="Times New Roman" w:hAnsi="Times New Roman" w:cs="Times New Roman"/>
                <w:b/>
                <w:bCs/>
                <w:sz w:val="16"/>
                <w:szCs w:val="16"/>
              </w:rPr>
              <w:t xml:space="preserve">Current USGC Charges – </w:t>
            </w:r>
            <w:r w:rsidRPr="0076488C">
              <w:rPr>
                <w:rFonts w:ascii="Times New Roman" w:hAnsi="Times New Roman" w:cs="Times New Roman"/>
                <w:b/>
                <w:bCs/>
                <w:color w:val="C00000"/>
                <w:sz w:val="16"/>
                <w:szCs w:val="16"/>
              </w:rPr>
              <w:t>updated January 23, 2026</w:t>
            </w:r>
          </w:p>
        </w:tc>
      </w:tr>
      <w:tr w:rsidR="00B33E51" w:rsidRPr="00562563" w14:paraId="004D3B96" w14:textId="77777777" w:rsidTr="009668F6">
        <w:tc>
          <w:tcPr>
            <w:tcW w:w="6750" w:type="dxa"/>
            <w:shd w:val="clear" w:color="auto" w:fill="E8E8E8" w:themeFill="background2"/>
          </w:tcPr>
          <w:p w14:paraId="3F6D32DC" w14:textId="77777777" w:rsidR="00B33E51" w:rsidRPr="0076488C" w:rsidRDefault="00B33E51" w:rsidP="009668F6">
            <w:pPr>
              <w:rPr>
                <w:rFonts w:ascii="Times New Roman" w:hAnsi="Times New Roman" w:cs="Times New Roman"/>
                <w:b/>
                <w:bCs/>
                <w:sz w:val="16"/>
                <w:szCs w:val="16"/>
              </w:rPr>
            </w:pPr>
            <w:r w:rsidRPr="0076488C">
              <w:rPr>
                <w:rFonts w:ascii="Times New Roman" w:hAnsi="Times New Roman" w:cs="Times New Roman"/>
                <w:b/>
                <w:bCs/>
                <w:sz w:val="16"/>
                <w:szCs w:val="16"/>
              </w:rPr>
              <w:t xml:space="preserve">Charge S-2309-2 </w:t>
            </w:r>
          </w:p>
        </w:tc>
        <w:tc>
          <w:tcPr>
            <w:tcW w:w="2790" w:type="dxa"/>
            <w:shd w:val="clear" w:color="auto" w:fill="E8E8E8" w:themeFill="background2"/>
          </w:tcPr>
          <w:p w14:paraId="00FA7370" w14:textId="77777777" w:rsidR="00B33E51" w:rsidRDefault="00B33E51" w:rsidP="009668F6">
            <w:pPr>
              <w:jc w:val="right"/>
              <w:rPr>
                <w:rFonts w:ascii="Times New Roman" w:hAnsi="Times New Roman" w:cs="Times New Roman"/>
                <w:b/>
                <w:bCs/>
                <w:i/>
                <w:iCs/>
                <w:sz w:val="16"/>
                <w:szCs w:val="16"/>
              </w:rPr>
            </w:pPr>
            <w:r w:rsidRPr="0076488C">
              <w:rPr>
                <w:rFonts w:ascii="Times New Roman" w:hAnsi="Times New Roman" w:cs="Times New Roman"/>
                <w:b/>
                <w:bCs/>
                <w:i/>
                <w:iCs/>
                <w:sz w:val="16"/>
                <w:szCs w:val="16"/>
              </w:rPr>
              <w:t>Due by January 7, 2026</w:t>
            </w:r>
          </w:p>
          <w:p w14:paraId="5B44FA90" w14:textId="68F8E200" w:rsidR="00B33E51" w:rsidRPr="0076488C" w:rsidRDefault="00B33E51" w:rsidP="009668F6">
            <w:pPr>
              <w:jc w:val="right"/>
              <w:rPr>
                <w:rFonts w:ascii="Times New Roman" w:hAnsi="Times New Roman" w:cs="Times New Roman"/>
                <w:b/>
                <w:bCs/>
                <w:sz w:val="16"/>
                <w:szCs w:val="16"/>
              </w:rPr>
            </w:pPr>
            <w:r w:rsidRPr="00B33E51">
              <w:rPr>
                <w:rFonts w:ascii="Times New Roman" w:hAnsi="Times New Roman" w:cs="Times New Roman"/>
                <w:b/>
                <w:bCs/>
                <w:i/>
                <w:iCs/>
                <w:color w:val="C00000"/>
                <w:sz w:val="16"/>
                <w:szCs w:val="16"/>
              </w:rPr>
              <w:t xml:space="preserve">NEW </w:t>
            </w:r>
            <w:proofErr w:type="gramStart"/>
            <w:r w:rsidRPr="00B33E51">
              <w:rPr>
                <w:rFonts w:ascii="Times New Roman" w:hAnsi="Times New Roman" w:cs="Times New Roman"/>
                <w:b/>
                <w:bCs/>
                <w:i/>
                <w:iCs/>
                <w:color w:val="C00000"/>
                <w:sz w:val="16"/>
                <w:szCs w:val="16"/>
              </w:rPr>
              <w:t>DATE</w:t>
            </w:r>
            <w:proofErr w:type="gramEnd"/>
            <w:r w:rsidRPr="00B33E51">
              <w:rPr>
                <w:rFonts w:ascii="Times New Roman" w:hAnsi="Times New Roman" w:cs="Times New Roman"/>
                <w:b/>
                <w:bCs/>
                <w:i/>
                <w:iCs/>
                <w:color w:val="C00000"/>
                <w:sz w:val="16"/>
                <w:szCs w:val="16"/>
              </w:rPr>
              <w:t xml:space="preserve"> SEPTEMBER 2026</w:t>
            </w:r>
          </w:p>
        </w:tc>
      </w:tr>
      <w:tr w:rsidR="00B33E51" w:rsidRPr="00562563" w14:paraId="742A7B2A" w14:textId="77777777" w:rsidTr="009668F6">
        <w:tc>
          <w:tcPr>
            <w:tcW w:w="9540" w:type="dxa"/>
            <w:gridSpan w:val="2"/>
          </w:tcPr>
          <w:p w14:paraId="2DF391BB"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b/>
                <w:bCs/>
                <w:sz w:val="16"/>
                <w:szCs w:val="16"/>
              </w:rPr>
              <w:t>Increased Representation of Graduate Students and PTL Faculty in the University Senate</w:t>
            </w:r>
          </w:p>
        </w:tc>
      </w:tr>
      <w:tr w:rsidR="00B33E51" w:rsidRPr="00562563" w14:paraId="2269F547" w14:textId="77777777" w:rsidTr="009668F6">
        <w:tc>
          <w:tcPr>
            <w:tcW w:w="9540" w:type="dxa"/>
            <w:gridSpan w:val="2"/>
            <w:vAlign w:val="center"/>
          </w:tcPr>
          <w:p w14:paraId="1CC3E662"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sz w:val="16"/>
                <w:szCs w:val="16"/>
              </w:rPr>
              <w:t>Evaluate the current criteria, bylaws, and policies that decide graduate student representatives and PTL faculty in the Senate. Make appropriate changes to increased graduate student representation and PTL faculty in the Senate.</w:t>
            </w:r>
          </w:p>
        </w:tc>
      </w:tr>
      <w:tr w:rsidR="00B33E51" w:rsidRPr="00562563" w14:paraId="22C41C59" w14:textId="77777777" w:rsidTr="009668F6">
        <w:tc>
          <w:tcPr>
            <w:tcW w:w="6750" w:type="dxa"/>
            <w:shd w:val="clear" w:color="auto" w:fill="E8E8E8" w:themeFill="background2"/>
          </w:tcPr>
          <w:p w14:paraId="55F356B2" w14:textId="77777777" w:rsidR="00B33E51" w:rsidRPr="0076488C" w:rsidRDefault="00B33E51" w:rsidP="009668F6">
            <w:pPr>
              <w:rPr>
                <w:rFonts w:ascii="Times New Roman" w:hAnsi="Times New Roman" w:cs="Times New Roman"/>
                <w:b/>
                <w:bCs/>
                <w:sz w:val="16"/>
                <w:szCs w:val="16"/>
              </w:rPr>
            </w:pPr>
            <w:r w:rsidRPr="0076488C">
              <w:rPr>
                <w:rFonts w:ascii="Times New Roman" w:hAnsi="Times New Roman" w:cs="Times New Roman"/>
                <w:b/>
                <w:bCs/>
                <w:sz w:val="16"/>
                <w:szCs w:val="16"/>
              </w:rPr>
              <w:t>Charge S-2316-1</w:t>
            </w:r>
          </w:p>
        </w:tc>
        <w:tc>
          <w:tcPr>
            <w:tcW w:w="2790" w:type="dxa"/>
            <w:shd w:val="clear" w:color="auto" w:fill="E8E8E8" w:themeFill="background2"/>
          </w:tcPr>
          <w:p w14:paraId="79B67D7B" w14:textId="77777777" w:rsidR="00B33E51" w:rsidRDefault="00B33E51" w:rsidP="009668F6">
            <w:pPr>
              <w:jc w:val="right"/>
              <w:rPr>
                <w:rFonts w:ascii="Times New Roman" w:hAnsi="Times New Roman" w:cs="Times New Roman"/>
                <w:b/>
                <w:bCs/>
                <w:i/>
                <w:iCs/>
                <w:sz w:val="16"/>
                <w:szCs w:val="16"/>
              </w:rPr>
            </w:pPr>
            <w:r w:rsidRPr="0076488C">
              <w:rPr>
                <w:rFonts w:ascii="Times New Roman" w:hAnsi="Times New Roman" w:cs="Times New Roman"/>
                <w:b/>
                <w:bCs/>
                <w:i/>
                <w:iCs/>
                <w:sz w:val="16"/>
                <w:szCs w:val="16"/>
              </w:rPr>
              <w:t>Due by January 7, 2026</w:t>
            </w:r>
          </w:p>
          <w:p w14:paraId="7351C374" w14:textId="24C94DE7" w:rsidR="00B33E51" w:rsidRPr="0076488C" w:rsidRDefault="00B33E51" w:rsidP="00B33E51">
            <w:pPr>
              <w:jc w:val="right"/>
              <w:rPr>
                <w:rFonts w:ascii="Times New Roman" w:hAnsi="Times New Roman" w:cs="Times New Roman"/>
                <w:b/>
                <w:bCs/>
                <w:sz w:val="16"/>
                <w:szCs w:val="16"/>
              </w:rPr>
            </w:pPr>
            <w:r w:rsidRPr="00B33E51">
              <w:rPr>
                <w:rFonts w:ascii="Times New Roman" w:hAnsi="Times New Roman" w:cs="Times New Roman"/>
                <w:b/>
                <w:bCs/>
                <w:i/>
                <w:iCs/>
                <w:color w:val="C00000"/>
                <w:sz w:val="16"/>
                <w:szCs w:val="16"/>
              </w:rPr>
              <w:t xml:space="preserve">NEW </w:t>
            </w:r>
            <w:proofErr w:type="gramStart"/>
            <w:r w:rsidRPr="00B33E51">
              <w:rPr>
                <w:rFonts w:ascii="Times New Roman" w:hAnsi="Times New Roman" w:cs="Times New Roman"/>
                <w:b/>
                <w:bCs/>
                <w:i/>
                <w:iCs/>
                <w:color w:val="C00000"/>
                <w:sz w:val="16"/>
                <w:szCs w:val="16"/>
              </w:rPr>
              <w:t>DATE</w:t>
            </w:r>
            <w:proofErr w:type="gramEnd"/>
            <w:r w:rsidRPr="00B33E51">
              <w:rPr>
                <w:rFonts w:ascii="Times New Roman" w:hAnsi="Times New Roman" w:cs="Times New Roman"/>
                <w:b/>
                <w:bCs/>
                <w:i/>
                <w:iCs/>
                <w:color w:val="C00000"/>
                <w:sz w:val="16"/>
                <w:szCs w:val="16"/>
              </w:rPr>
              <w:t xml:space="preserve"> SEPTEMBER 2026</w:t>
            </w:r>
          </w:p>
        </w:tc>
      </w:tr>
      <w:tr w:rsidR="00B33E51" w:rsidRPr="00562563" w14:paraId="4C717748" w14:textId="77777777" w:rsidTr="009668F6">
        <w:tc>
          <w:tcPr>
            <w:tcW w:w="9540" w:type="dxa"/>
            <w:gridSpan w:val="2"/>
          </w:tcPr>
          <w:p w14:paraId="588048B0"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b/>
                <w:bCs/>
                <w:sz w:val="16"/>
                <w:szCs w:val="16"/>
              </w:rPr>
              <w:t>University Senate Representation on Formal Governance Boards</w:t>
            </w:r>
          </w:p>
        </w:tc>
      </w:tr>
      <w:tr w:rsidR="00B33E51" w:rsidRPr="00562563" w14:paraId="0773F3BE" w14:textId="77777777" w:rsidTr="009668F6">
        <w:tc>
          <w:tcPr>
            <w:tcW w:w="9540" w:type="dxa"/>
            <w:gridSpan w:val="2"/>
            <w:vAlign w:val="center"/>
          </w:tcPr>
          <w:p w14:paraId="37F9DBD9"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sz w:val="16"/>
                <w:szCs w:val="16"/>
              </w:rPr>
              <w:t xml:space="preserve">Determine if there should be University Senate voting representation on all of the governing boards: Rutgers University Board of Governors and Board of Trustees, The Rutgers University Board of Directors (Foundation), The Camden Board of Directors; </w:t>
            </w:r>
            <w:proofErr w:type="gramStart"/>
            <w:r w:rsidRPr="0076488C">
              <w:rPr>
                <w:rFonts w:ascii="Times New Roman" w:hAnsi="Times New Roman" w:cs="Times New Roman"/>
                <w:sz w:val="16"/>
                <w:szCs w:val="16"/>
              </w:rPr>
              <w:t>and,</w:t>
            </w:r>
            <w:proofErr w:type="gramEnd"/>
            <w:r w:rsidRPr="0076488C">
              <w:rPr>
                <w:rFonts w:ascii="Times New Roman" w:hAnsi="Times New Roman" w:cs="Times New Roman"/>
                <w:sz w:val="16"/>
                <w:szCs w:val="16"/>
              </w:rPr>
              <w:t xml:space="preserve"> The Rowan University / Rutgers-Camden Board of Governors. Additionally, make recommendations regarding the make-up of Board membership, including faculty, staff, students, and alumni.</w:t>
            </w:r>
          </w:p>
        </w:tc>
      </w:tr>
      <w:tr w:rsidR="00B33E51" w:rsidRPr="00562563" w14:paraId="0D08A063" w14:textId="77777777" w:rsidTr="009668F6">
        <w:tc>
          <w:tcPr>
            <w:tcW w:w="6750" w:type="dxa"/>
            <w:shd w:val="clear" w:color="auto" w:fill="E8E8E8" w:themeFill="background2"/>
          </w:tcPr>
          <w:p w14:paraId="065A86AF" w14:textId="77777777" w:rsidR="00B33E51" w:rsidRPr="0076488C" w:rsidRDefault="00B33E51" w:rsidP="009668F6">
            <w:pPr>
              <w:rPr>
                <w:rFonts w:ascii="Times New Roman" w:hAnsi="Times New Roman" w:cs="Times New Roman"/>
                <w:b/>
                <w:bCs/>
                <w:sz w:val="16"/>
                <w:szCs w:val="16"/>
              </w:rPr>
            </w:pPr>
            <w:r w:rsidRPr="0076488C">
              <w:rPr>
                <w:rFonts w:ascii="Times New Roman" w:hAnsi="Times New Roman" w:cs="Times New Roman"/>
                <w:b/>
                <w:bCs/>
                <w:sz w:val="16"/>
                <w:szCs w:val="16"/>
              </w:rPr>
              <w:t>Charge S-2318-1</w:t>
            </w:r>
          </w:p>
        </w:tc>
        <w:tc>
          <w:tcPr>
            <w:tcW w:w="2790" w:type="dxa"/>
            <w:shd w:val="clear" w:color="auto" w:fill="E8E8E8" w:themeFill="background2"/>
          </w:tcPr>
          <w:p w14:paraId="744175F9" w14:textId="77777777" w:rsidR="00B33E51" w:rsidRDefault="00B33E51" w:rsidP="009668F6">
            <w:pPr>
              <w:jc w:val="right"/>
              <w:rPr>
                <w:rFonts w:ascii="Times New Roman" w:hAnsi="Times New Roman" w:cs="Times New Roman"/>
                <w:b/>
                <w:bCs/>
                <w:i/>
                <w:iCs/>
                <w:sz w:val="16"/>
                <w:szCs w:val="16"/>
              </w:rPr>
            </w:pPr>
            <w:r w:rsidRPr="0076488C">
              <w:rPr>
                <w:rFonts w:ascii="Times New Roman" w:hAnsi="Times New Roman" w:cs="Times New Roman"/>
                <w:b/>
                <w:bCs/>
                <w:i/>
                <w:iCs/>
                <w:sz w:val="16"/>
                <w:szCs w:val="16"/>
              </w:rPr>
              <w:t>Due by January 7, 2026</w:t>
            </w:r>
          </w:p>
          <w:p w14:paraId="59EDA610" w14:textId="0E57C4DA" w:rsidR="00B33E51" w:rsidRPr="0076488C" w:rsidRDefault="00B33E51" w:rsidP="009668F6">
            <w:pPr>
              <w:jc w:val="right"/>
              <w:rPr>
                <w:rFonts w:ascii="Times New Roman" w:hAnsi="Times New Roman" w:cs="Times New Roman"/>
                <w:b/>
                <w:bCs/>
                <w:sz w:val="16"/>
                <w:szCs w:val="16"/>
              </w:rPr>
            </w:pPr>
            <w:r w:rsidRPr="00B33E51">
              <w:rPr>
                <w:rFonts w:ascii="Times New Roman" w:hAnsi="Times New Roman" w:cs="Times New Roman"/>
                <w:b/>
                <w:bCs/>
                <w:i/>
                <w:iCs/>
                <w:color w:val="C00000"/>
                <w:sz w:val="16"/>
                <w:szCs w:val="16"/>
              </w:rPr>
              <w:t xml:space="preserve">NEW </w:t>
            </w:r>
            <w:proofErr w:type="gramStart"/>
            <w:r w:rsidRPr="00B33E51">
              <w:rPr>
                <w:rFonts w:ascii="Times New Roman" w:hAnsi="Times New Roman" w:cs="Times New Roman"/>
                <w:b/>
                <w:bCs/>
                <w:i/>
                <w:iCs/>
                <w:color w:val="C00000"/>
                <w:sz w:val="16"/>
                <w:szCs w:val="16"/>
              </w:rPr>
              <w:t>DATE</w:t>
            </w:r>
            <w:proofErr w:type="gramEnd"/>
            <w:r w:rsidRPr="00B33E51">
              <w:rPr>
                <w:rFonts w:ascii="Times New Roman" w:hAnsi="Times New Roman" w:cs="Times New Roman"/>
                <w:b/>
                <w:bCs/>
                <w:i/>
                <w:iCs/>
                <w:color w:val="C00000"/>
                <w:sz w:val="16"/>
                <w:szCs w:val="16"/>
              </w:rPr>
              <w:t xml:space="preserve"> SEPTEMBER 2026</w:t>
            </w:r>
          </w:p>
        </w:tc>
      </w:tr>
      <w:tr w:rsidR="00B33E51" w:rsidRPr="00562563" w14:paraId="057C78AA" w14:textId="77777777" w:rsidTr="009668F6">
        <w:tc>
          <w:tcPr>
            <w:tcW w:w="9540" w:type="dxa"/>
            <w:gridSpan w:val="2"/>
          </w:tcPr>
          <w:p w14:paraId="1EFDB103"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b/>
                <w:bCs/>
                <w:sz w:val="16"/>
                <w:szCs w:val="16"/>
              </w:rPr>
              <w:t>Increasing Student Representation on the Rutgers University Senate Executive Committee</w:t>
            </w:r>
          </w:p>
        </w:tc>
      </w:tr>
      <w:tr w:rsidR="00B33E51" w:rsidRPr="00562563" w14:paraId="5EC07749" w14:textId="77777777" w:rsidTr="009668F6">
        <w:tc>
          <w:tcPr>
            <w:tcW w:w="9540" w:type="dxa"/>
            <w:gridSpan w:val="2"/>
            <w:vAlign w:val="center"/>
          </w:tcPr>
          <w:p w14:paraId="132DCA8E"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sz w:val="16"/>
                <w:szCs w:val="16"/>
              </w:rPr>
              <w:t>The University Structure and Governance Committee of the Rutgers University Senate is charged with investigating and making recommendations on the need to expand student representation on the Rutgers University Senate Executive Committee. Currently, faculty members have representation on the Rutgers University Senate Executive Committee through seats allocated to each chancellor-led unit, in addition to two at-large positions. In contrast, students are limited to four seats representing New Brunswick, Camden, Newark, and RBHS. Given that students constitute the largest constituency at Rutgers, this committee is tasked with examining whether the current representation adequately reflects the student body’s diversity, concerns, and interests. The committee shall explore potential modifications to the Rutgers University Senate Executive Committee structure to ensure a more equitable and comprehensive student representation.</w:t>
            </w:r>
          </w:p>
        </w:tc>
      </w:tr>
      <w:tr w:rsidR="00B33E51" w:rsidRPr="00562563" w14:paraId="6F2933E1" w14:textId="77777777" w:rsidTr="009668F6">
        <w:tc>
          <w:tcPr>
            <w:tcW w:w="6750" w:type="dxa"/>
            <w:shd w:val="clear" w:color="auto" w:fill="E8E8E8" w:themeFill="background2"/>
          </w:tcPr>
          <w:p w14:paraId="18AD1339" w14:textId="77777777" w:rsidR="00B33E51" w:rsidRPr="0076488C" w:rsidRDefault="00B33E51" w:rsidP="009668F6">
            <w:pPr>
              <w:rPr>
                <w:rFonts w:ascii="Times New Roman" w:hAnsi="Times New Roman" w:cs="Times New Roman"/>
                <w:b/>
                <w:bCs/>
                <w:sz w:val="16"/>
                <w:szCs w:val="16"/>
              </w:rPr>
            </w:pPr>
            <w:r w:rsidRPr="0076488C">
              <w:rPr>
                <w:rFonts w:ascii="Times New Roman" w:hAnsi="Times New Roman" w:cs="Times New Roman"/>
                <w:b/>
                <w:bCs/>
                <w:sz w:val="16"/>
                <w:szCs w:val="16"/>
              </w:rPr>
              <w:t>Charge S-2405</w:t>
            </w:r>
          </w:p>
        </w:tc>
        <w:tc>
          <w:tcPr>
            <w:tcW w:w="2790" w:type="dxa"/>
            <w:shd w:val="clear" w:color="auto" w:fill="E8E8E8" w:themeFill="background2"/>
          </w:tcPr>
          <w:p w14:paraId="7FA03442" w14:textId="77777777" w:rsidR="00B33E51" w:rsidRDefault="00B33E51" w:rsidP="009668F6">
            <w:pPr>
              <w:jc w:val="right"/>
              <w:rPr>
                <w:rFonts w:ascii="Times New Roman" w:hAnsi="Times New Roman" w:cs="Times New Roman"/>
                <w:b/>
                <w:bCs/>
                <w:i/>
                <w:iCs/>
                <w:sz w:val="16"/>
                <w:szCs w:val="16"/>
              </w:rPr>
            </w:pPr>
            <w:proofErr w:type="gramStart"/>
            <w:r w:rsidRPr="0076488C">
              <w:rPr>
                <w:rFonts w:ascii="Times New Roman" w:hAnsi="Times New Roman" w:cs="Times New Roman"/>
                <w:b/>
                <w:bCs/>
                <w:i/>
                <w:iCs/>
                <w:sz w:val="16"/>
                <w:szCs w:val="16"/>
              </w:rPr>
              <w:t>Due by</w:t>
            </w:r>
            <w:proofErr w:type="gramEnd"/>
            <w:r w:rsidRPr="0076488C">
              <w:rPr>
                <w:rFonts w:ascii="Times New Roman" w:hAnsi="Times New Roman" w:cs="Times New Roman"/>
                <w:b/>
                <w:bCs/>
                <w:i/>
                <w:iCs/>
                <w:sz w:val="16"/>
                <w:szCs w:val="16"/>
              </w:rPr>
              <w:t xml:space="preserve"> December 3, 2025</w:t>
            </w:r>
          </w:p>
          <w:p w14:paraId="42C7342B" w14:textId="4001C93A" w:rsidR="00B33E51" w:rsidRPr="0076488C" w:rsidRDefault="00B33E51" w:rsidP="009668F6">
            <w:pPr>
              <w:jc w:val="right"/>
              <w:rPr>
                <w:rFonts w:ascii="Times New Roman" w:hAnsi="Times New Roman" w:cs="Times New Roman"/>
                <w:b/>
                <w:bCs/>
                <w:sz w:val="16"/>
                <w:szCs w:val="16"/>
              </w:rPr>
            </w:pPr>
            <w:r w:rsidRPr="00B33E51">
              <w:rPr>
                <w:rFonts w:ascii="Times New Roman" w:hAnsi="Times New Roman" w:cs="Times New Roman"/>
                <w:b/>
                <w:bCs/>
                <w:i/>
                <w:iCs/>
                <w:color w:val="C00000"/>
                <w:sz w:val="16"/>
                <w:szCs w:val="16"/>
              </w:rPr>
              <w:t xml:space="preserve">NEW </w:t>
            </w:r>
            <w:proofErr w:type="gramStart"/>
            <w:r w:rsidRPr="00B33E51">
              <w:rPr>
                <w:rFonts w:ascii="Times New Roman" w:hAnsi="Times New Roman" w:cs="Times New Roman"/>
                <w:b/>
                <w:bCs/>
                <w:i/>
                <w:iCs/>
                <w:color w:val="C00000"/>
                <w:sz w:val="16"/>
                <w:szCs w:val="16"/>
              </w:rPr>
              <w:t>DATE</w:t>
            </w:r>
            <w:proofErr w:type="gramEnd"/>
            <w:r w:rsidRPr="00B33E51">
              <w:rPr>
                <w:rFonts w:ascii="Times New Roman" w:hAnsi="Times New Roman" w:cs="Times New Roman"/>
                <w:b/>
                <w:bCs/>
                <w:i/>
                <w:iCs/>
                <w:color w:val="C00000"/>
                <w:sz w:val="16"/>
                <w:szCs w:val="16"/>
              </w:rPr>
              <w:t xml:space="preserve"> SEPTEMBER 2026</w:t>
            </w:r>
          </w:p>
        </w:tc>
      </w:tr>
      <w:tr w:rsidR="00B33E51" w:rsidRPr="00562563" w14:paraId="26795626" w14:textId="77777777" w:rsidTr="009668F6">
        <w:tc>
          <w:tcPr>
            <w:tcW w:w="9540" w:type="dxa"/>
            <w:gridSpan w:val="2"/>
          </w:tcPr>
          <w:p w14:paraId="1AB82BE9" w14:textId="77777777" w:rsidR="00B33E51" w:rsidRPr="0076488C" w:rsidRDefault="00B33E51" w:rsidP="009668F6">
            <w:pPr>
              <w:rPr>
                <w:rFonts w:ascii="Times New Roman" w:hAnsi="Times New Roman" w:cs="Times New Roman"/>
                <w:b/>
                <w:bCs/>
                <w:sz w:val="16"/>
                <w:szCs w:val="16"/>
              </w:rPr>
            </w:pPr>
            <w:r w:rsidRPr="0076488C">
              <w:rPr>
                <w:rFonts w:ascii="Times New Roman" w:hAnsi="Times New Roman" w:cs="Times New Roman"/>
                <w:b/>
                <w:bCs/>
                <w:sz w:val="16"/>
                <w:szCs w:val="16"/>
              </w:rPr>
              <w:t>Teaching Faculty Inclusion</w:t>
            </w:r>
          </w:p>
        </w:tc>
      </w:tr>
      <w:tr w:rsidR="00B33E51" w:rsidRPr="00562563" w14:paraId="222494B3" w14:textId="77777777" w:rsidTr="009668F6">
        <w:tc>
          <w:tcPr>
            <w:tcW w:w="9540" w:type="dxa"/>
            <w:gridSpan w:val="2"/>
            <w:vAlign w:val="center"/>
          </w:tcPr>
          <w:p w14:paraId="17EAB4BE"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sz w:val="16"/>
                <w:szCs w:val="16"/>
              </w:rPr>
              <w:t>Review and report the extent to which teaching faculty (i.e., NTTs &amp; Lecturers) are included in the decision-making structures and advisory spaces at the local (departmental and program) and (decanal) unit levels. Potentially propose guidelines to make local and unit-level governance more inclusive of all faculty and stakeholders, and to make practices more equitable across departments, units, and campuses.</w:t>
            </w:r>
          </w:p>
        </w:tc>
      </w:tr>
      <w:tr w:rsidR="00B33E51" w:rsidRPr="00562563" w14:paraId="63F99987" w14:textId="77777777" w:rsidTr="009668F6">
        <w:tc>
          <w:tcPr>
            <w:tcW w:w="6750" w:type="dxa"/>
            <w:shd w:val="clear" w:color="auto" w:fill="E8E8E8" w:themeFill="background2"/>
          </w:tcPr>
          <w:p w14:paraId="706948ED" w14:textId="77777777" w:rsidR="00B33E51" w:rsidRPr="0076488C" w:rsidRDefault="00B33E51" w:rsidP="009668F6">
            <w:pPr>
              <w:rPr>
                <w:rFonts w:ascii="Times New Roman" w:hAnsi="Times New Roman" w:cs="Times New Roman"/>
                <w:b/>
                <w:bCs/>
                <w:sz w:val="16"/>
                <w:szCs w:val="16"/>
              </w:rPr>
            </w:pPr>
            <w:r w:rsidRPr="0076488C">
              <w:rPr>
                <w:rFonts w:ascii="Times New Roman" w:hAnsi="Times New Roman" w:cs="Times New Roman"/>
                <w:b/>
                <w:bCs/>
                <w:sz w:val="16"/>
                <w:szCs w:val="16"/>
              </w:rPr>
              <w:t>Charge S-2406</w:t>
            </w:r>
          </w:p>
        </w:tc>
        <w:tc>
          <w:tcPr>
            <w:tcW w:w="2790" w:type="dxa"/>
            <w:shd w:val="clear" w:color="auto" w:fill="E8E8E8" w:themeFill="background2"/>
          </w:tcPr>
          <w:p w14:paraId="30335955" w14:textId="77777777" w:rsidR="00B33E51" w:rsidRDefault="00B33E51" w:rsidP="009668F6">
            <w:pPr>
              <w:jc w:val="right"/>
              <w:rPr>
                <w:rFonts w:ascii="Times New Roman" w:hAnsi="Times New Roman" w:cs="Times New Roman"/>
                <w:b/>
                <w:bCs/>
                <w:i/>
                <w:iCs/>
                <w:sz w:val="16"/>
                <w:szCs w:val="16"/>
              </w:rPr>
            </w:pPr>
            <w:r w:rsidRPr="0076488C">
              <w:rPr>
                <w:rFonts w:ascii="Times New Roman" w:hAnsi="Times New Roman" w:cs="Times New Roman"/>
                <w:b/>
                <w:bCs/>
                <w:i/>
                <w:iCs/>
                <w:sz w:val="16"/>
                <w:szCs w:val="16"/>
              </w:rPr>
              <w:t>Due by January 7, 2026</w:t>
            </w:r>
          </w:p>
          <w:p w14:paraId="121FAB41" w14:textId="3CF6E13A" w:rsidR="00B33E51" w:rsidRPr="0076488C" w:rsidRDefault="00B33E51" w:rsidP="009668F6">
            <w:pPr>
              <w:jc w:val="right"/>
              <w:rPr>
                <w:rFonts w:ascii="Times New Roman" w:hAnsi="Times New Roman" w:cs="Times New Roman"/>
                <w:b/>
                <w:bCs/>
                <w:sz w:val="16"/>
                <w:szCs w:val="16"/>
              </w:rPr>
            </w:pPr>
            <w:r w:rsidRPr="00B33E51">
              <w:rPr>
                <w:rFonts w:ascii="Times New Roman" w:hAnsi="Times New Roman" w:cs="Times New Roman"/>
                <w:b/>
                <w:bCs/>
                <w:i/>
                <w:iCs/>
                <w:color w:val="C00000"/>
                <w:sz w:val="16"/>
                <w:szCs w:val="16"/>
              </w:rPr>
              <w:t xml:space="preserve">NEW </w:t>
            </w:r>
            <w:proofErr w:type="gramStart"/>
            <w:r w:rsidRPr="00B33E51">
              <w:rPr>
                <w:rFonts w:ascii="Times New Roman" w:hAnsi="Times New Roman" w:cs="Times New Roman"/>
                <w:b/>
                <w:bCs/>
                <w:i/>
                <w:iCs/>
                <w:color w:val="C00000"/>
                <w:sz w:val="16"/>
                <w:szCs w:val="16"/>
              </w:rPr>
              <w:t>DATE</w:t>
            </w:r>
            <w:proofErr w:type="gramEnd"/>
            <w:r w:rsidRPr="00B33E51">
              <w:rPr>
                <w:rFonts w:ascii="Times New Roman" w:hAnsi="Times New Roman" w:cs="Times New Roman"/>
                <w:b/>
                <w:bCs/>
                <w:i/>
                <w:iCs/>
                <w:color w:val="C00000"/>
                <w:sz w:val="16"/>
                <w:szCs w:val="16"/>
              </w:rPr>
              <w:t xml:space="preserve"> SEPTEMBER 2026</w:t>
            </w:r>
          </w:p>
        </w:tc>
      </w:tr>
      <w:tr w:rsidR="00B33E51" w:rsidRPr="00562563" w14:paraId="4EF8C828" w14:textId="77777777" w:rsidTr="009668F6">
        <w:tc>
          <w:tcPr>
            <w:tcW w:w="9540" w:type="dxa"/>
            <w:gridSpan w:val="2"/>
          </w:tcPr>
          <w:p w14:paraId="7983C3BB"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b/>
                <w:bCs/>
                <w:sz w:val="16"/>
                <w:szCs w:val="16"/>
              </w:rPr>
              <w:t>Senate Role in Shared Governance</w:t>
            </w:r>
          </w:p>
        </w:tc>
      </w:tr>
      <w:tr w:rsidR="00B33E51" w:rsidRPr="00562563" w14:paraId="219912D7" w14:textId="77777777" w:rsidTr="009668F6">
        <w:tc>
          <w:tcPr>
            <w:tcW w:w="9540" w:type="dxa"/>
            <w:gridSpan w:val="2"/>
            <w:vAlign w:val="center"/>
          </w:tcPr>
          <w:p w14:paraId="39237DAC"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sz w:val="16"/>
                <w:szCs w:val="16"/>
              </w:rPr>
              <w:t>Request that the University Structure and Governance Committee closely review and evaluate University policy 50.2.2 with the goal of further clarifying, verifying, and delineating the Senate’s official role in shared governance.</w:t>
            </w:r>
          </w:p>
        </w:tc>
      </w:tr>
      <w:tr w:rsidR="00B33E51" w:rsidRPr="00562563" w14:paraId="43B80BF9" w14:textId="77777777" w:rsidTr="009668F6">
        <w:tc>
          <w:tcPr>
            <w:tcW w:w="6750" w:type="dxa"/>
            <w:shd w:val="clear" w:color="auto" w:fill="E8E8E8" w:themeFill="background2"/>
          </w:tcPr>
          <w:p w14:paraId="08749667" w14:textId="77777777" w:rsidR="00B33E51" w:rsidRPr="0076488C" w:rsidRDefault="00B33E51" w:rsidP="009668F6">
            <w:pPr>
              <w:rPr>
                <w:rFonts w:ascii="Times New Roman" w:hAnsi="Times New Roman" w:cs="Times New Roman"/>
                <w:b/>
                <w:bCs/>
                <w:sz w:val="16"/>
                <w:szCs w:val="16"/>
              </w:rPr>
            </w:pPr>
            <w:r w:rsidRPr="0076488C">
              <w:rPr>
                <w:rFonts w:ascii="Times New Roman" w:hAnsi="Times New Roman" w:cs="Times New Roman"/>
                <w:b/>
                <w:bCs/>
                <w:sz w:val="16"/>
                <w:szCs w:val="16"/>
              </w:rPr>
              <w:t>Charge S-2505</w:t>
            </w:r>
          </w:p>
        </w:tc>
        <w:tc>
          <w:tcPr>
            <w:tcW w:w="2790" w:type="dxa"/>
            <w:shd w:val="clear" w:color="auto" w:fill="E8E8E8" w:themeFill="background2"/>
          </w:tcPr>
          <w:p w14:paraId="7BBAAE27" w14:textId="77777777" w:rsidR="00B33E51" w:rsidRPr="0076488C" w:rsidRDefault="00B33E51" w:rsidP="009668F6">
            <w:pPr>
              <w:jc w:val="right"/>
              <w:rPr>
                <w:rFonts w:ascii="Times New Roman" w:hAnsi="Times New Roman" w:cs="Times New Roman"/>
                <w:b/>
                <w:bCs/>
                <w:sz w:val="16"/>
                <w:szCs w:val="16"/>
              </w:rPr>
            </w:pPr>
            <w:r w:rsidRPr="0076488C">
              <w:rPr>
                <w:rFonts w:ascii="Times New Roman" w:hAnsi="Times New Roman" w:cs="Times New Roman"/>
                <w:b/>
                <w:bCs/>
                <w:i/>
                <w:iCs/>
                <w:sz w:val="16"/>
                <w:szCs w:val="16"/>
              </w:rPr>
              <w:t>Due by October 7, 2026</w:t>
            </w:r>
          </w:p>
        </w:tc>
      </w:tr>
      <w:tr w:rsidR="00B33E51" w:rsidRPr="00562563" w14:paraId="2F0A9BD6" w14:textId="77777777" w:rsidTr="009668F6">
        <w:tc>
          <w:tcPr>
            <w:tcW w:w="9540" w:type="dxa"/>
            <w:gridSpan w:val="2"/>
          </w:tcPr>
          <w:p w14:paraId="06B02867"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b/>
                <w:bCs/>
                <w:sz w:val="16"/>
                <w:szCs w:val="16"/>
              </w:rPr>
              <w:t>Shared Governance Requires Efficacy to Communicate with Constituents</w:t>
            </w:r>
          </w:p>
        </w:tc>
      </w:tr>
      <w:tr w:rsidR="00B33E51" w:rsidRPr="00562563" w14:paraId="09F1A7A8" w14:textId="77777777" w:rsidTr="009668F6">
        <w:tc>
          <w:tcPr>
            <w:tcW w:w="9540" w:type="dxa"/>
            <w:gridSpan w:val="2"/>
            <w:vAlign w:val="center"/>
          </w:tcPr>
          <w:p w14:paraId="45091EDC" w14:textId="77777777" w:rsidR="00B33E51" w:rsidRPr="0076488C" w:rsidRDefault="00B33E51" w:rsidP="009668F6">
            <w:pPr>
              <w:rPr>
                <w:rFonts w:ascii="Times New Roman" w:hAnsi="Times New Roman" w:cs="Times New Roman"/>
                <w:sz w:val="16"/>
                <w:szCs w:val="16"/>
              </w:rPr>
            </w:pPr>
            <w:r w:rsidRPr="0076488C">
              <w:rPr>
                <w:rFonts w:ascii="Times New Roman" w:hAnsi="Times New Roman" w:cs="Times New Roman"/>
                <w:sz w:val="16"/>
                <w:szCs w:val="16"/>
              </w:rPr>
              <w:t>The USGC should conduct a thorough review of how Senators report to and solicit feedback from their respective constituencies and evaluate existing methods of communication in terms of their effectiveness in achieving Senators’ representative goals. The report should include consultation with relevant administrative offices and functions, including but not limited to: OIT, decanal IT departments, internal media outlets (e.g., Rutgers Today), etc. to develop a proposal, a comprehensive plan, through which the 250+ elected delegates – representing faculty, staff, students, alumni, and administrators – serve the broader Rutgers community.</w:t>
            </w:r>
          </w:p>
        </w:tc>
      </w:tr>
      <w:tr w:rsidR="00B33E51" w:rsidRPr="00562563" w14:paraId="3417CED1" w14:textId="77777777" w:rsidTr="009668F6">
        <w:tc>
          <w:tcPr>
            <w:tcW w:w="6750" w:type="dxa"/>
            <w:shd w:val="clear" w:color="auto" w:fill="E8E8E8" w:themeFill="background2"/>
          </w:tcPr>
          <w:p w14:paraId="16B98152" w14:textId="77777777" w:rsidR="00B33E51" w:rsidRPr="0076488C" w:rsidRDefault="00B33E51" w:rsidP="009668F6">
            <w:pPr>
              <w:rPr>
                <w:rFonts w:ascii="Times New Roman" w:hAnsi="Times New Roman" w:cs="Times New Roman"/>
                <w:b/>
                <w:bCs/>
                <w:sz w:val="16"/>
                <w:szCs w:val="16"/>
              </w:rPr>
            </w:pPr>
            <w:r w:rsidRPr="0076488C">
              <w:rPr>
                <w:rFonts w:ascii="Times New Roman" w:hAnsi="Times New Roman" w:cs="Times New Roman"/>
                <w:b/>
                <w:bCs/>
                <w:sz w:val="16"/>
                <w:szCs w:val="16"/>
              </w:rPr>
              <w:t>NEW Charge S- S-2509</w:t>
            </w:r>
          </w:p>
        </w:tc>
        <w:tc>
          <w:tcPr>
            <w:tcW w:w="2790" w:type="dxa"/>
            <w:shd w:val="clear" w:color="auto" w:fill="E8E8E8" w:themeFill="background2"/>
          </w:tcPr>
          <w:p w14:paraId="65A2DD7C" w14:textId="77777777" w:rsidR="00B33E51" w:rsidRPr="0076488C" w:rsidRDefault="00B33E51" w:rsidP="009668F6">
            <w:pPr>
              <w:jc w:val="right"/>
              <w:rPr>
                <w:rFonts w:ascii="Times New Roman" w:hAnsi="Times New Roman" w:cs="Times New Roman"/>
                <w:b/>
                <w:bCs/>
                <w:sz w:val="16"/>
                <w:szCs w:val="16"/>
              </w:rPr>
            </w:pPr>
            <w:r w:rsidRPr="0076488C">
              <w:rPr>
                <w:rFonts w:ascii="Times New Roman" w:hAnsi="Times New Roman" w:cs="Times New Roman"/>
                <w:b/>
                <w:bCs/>
                <w:i/>
                <w:iCs/>
                <w:sz w:val="16"/>
                <w:szCs w:val="16"/>
              </w:rPr>
              <w:t xml:space="preserve">Due by December 2026 </w:t>
            </w:r>
          </w:p>
        </w:tc>
      </w:tr>
      <w:tr w:rsidR="00B33E51" w:rsidRPr="00562563" w14:paraId="30BE17A6" w14:textId="77777777" w:rsidTr="009668F6">
        <w:tc>
          <w:tcPr>
            <w:tcW w:w="9540" w:type="dxa"/>
            <w:gridSpan w:val="2"/>
          </w:tcPr>
          <w:p w14:paraId="1065E991" w14:textId="77777777" w:rsidR="00B33E51" w:rsidRPr="0076488C" w:rsidRDefault="00B33E51" w:rsidP="009668F6">
            <w:pPr>
              <w:rPr>
                <w:rFonts w:ascii="Times New Roman" w:hAnsi="Times New Roman" w:cs="Times New Roman"/>
                <w:b/>
                <w:bCs/>
                <w:sz w:val="16"/>
                <w:szCs w:val="16"/>
              </w:rPr>
            </w:pPr>
            <w:r w:rsidRPr="0076488C">
              <w:rPr>
                <w:rFonts w:ascii="Times New Roman" w:hAnsi="Times New Roman" w:cs="Times New Roman"/>
                <w:b/>
                <w:bCs/>
                <w:sz w:val="16"/>
                <w:szCs w:val="16"/>
              </w:rPr>
              <w:t xml:space="preserve">Review and Standardize the Election Processes for University Senators Across All Constituencies </w:t>
            </w:r>
          </w:p>
        </w:tc>
      </w:tr>
      <w:tr w:rsidR="00B33E51" w:rsidRPr="00562563" w14:paraId="54CF32EF" w14:textId="77777777" w:rsidTr="009668F6">
        <w:tc>
          <w:tcPr>
            <w:tcW w:w="9540" w:type="dxa"/>
            <w:gridSpan w:val="2"/>
            <w:vAlign w:val="center"/>
          </w:tcPr>
          <w:p w14:paraId="079E0916" w14:textId="77777777" w:rsidR="00B33E51" w:rsidRPr="0076488C" w:rsidRDefault="00B33E51" w:rsidP="009668F6">
            <w:pPr>
              <w:spacing w:after="160"/>
              <w:rPr>
                <w:rFonts w:ascii="Times New Roman" w:hAnsi="Times New Roman" w:cs="Times New Roman"/>
                <w:sz w:val="16"/>
                <w:szCs w:val="16"/>
              </w:rPr>
            </w:pPr>
            <w:r w:rsidRPr="0076488C">
              <w:rPr>
                <w:rFonts w:ascii="Times New Roman" w:hAnsi="Times New Roman" w:cs="Times New Roman"/>
                <w:sz w:val="16"/>
                <w:szCs w:val="16"/>
              </w:rPr>
              <w:t>The University Senate is charged with examining the election processes used across all academic units (departments, divisions, schools, and colleges) to select university senators. Specifically, the Senate committee shall: 1) Determine whether university senators in each academic unit are elected by the eligible university senators through a verifiable and transparent election process, or whether any units rely on appointment practices by unit heads or administrators. 2) Assess the degree of compliance with University Policy 50.2.1 and any relevant governing documents requiring that senators be chosen by election. 3) Identify inconsistencies, gaps, or deviations in how elections are conducted, including absence of formal procedures, lack of transparency, or administrative influence. 4) Develop recommendations for a standardized, university-wide procedure to ensure that all university senators are elected through: – A true, fair, and democratic election; – Conducted or overseen by an impartial Ombuds entity, designated by the University Senate (e.g., the Senate Parliamentarian or the Senate Executive Secretary); – Implemented uniformly across all units. 5) Propose mechanisms for verification and accountability, including: – Annual certification of election results by the designated Ombudsman; – A repository for documented election procedures for every academic unit; – Clear consequences or remediation steps for units not in compliance. Expected Outcome: 1) A written report to the Senate Executive Committee detailing: – Findings regarding current election practices; – Identification of units where senators are appointed rather than elected; – Recommended policy revisions or new procedures to enforce fair elections; – A proposed University-wide standard for Senator elections, including the formal role of an independent Ombudsman. </w:t>
            </w:r>
          </w:p>
        </w:tc>
      </w:tr>
    </w:tbl>
    <w:p w14:paraId="5989066A" w14:textId="77777777" w:rsidR="00AE4302" w:rsidRDefault="00AE4302"/>
    <w:sectPr w:rsidR="00AE4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51"/>
    <w:rsid w:val="002454E6"/>
    <w:rsid w:val="0026772C"/>
    <w:rsid w:val="005C1F9C"/>
    <w:rsid w:val="00AE4302"/>
    <w:rsid w:val="00B3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50E3"/>
  <w15:chartTrackingRefBased/>
  <w15:docId w15:val="{C85F84B0-5250-4646-9A67-72EE1D4C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51"/>
    <w:pPr>
      <w:spacing w:line="259" w:lineRule="auto"/>
    </w:pPr>
    <w:rPr>
      <w:sz w:val="22"/>
      <w:szCs w:val="22"/>
    </w:rPr>
  </w:style>
  <w:style w:type="paragraph" w:styleId="Heading1">
    <w:name w:val="heading 1"/>
    <w:basedOn w:val="Normal"/>
    <w:next w:val="Normal"/>
    <w:link w:val="Heading1Char"/>
    <w:uiPriority w:val="9"/>
    <w:qFormat/>
    <w:rsid w:val="00B33E5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E5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E5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E5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33E5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33E5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33E5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33E5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33E5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E51"/>
    <w:rPr>
      <w:rFonts w:eastAsiaTheme="majorEastAsia" w:cstheme="majorBidi"/>
      <w:color w:val="272727" w:themeColor="text1" w:themeTint="D8"/>
    </w:rPr>
  </w:style>
  <w:style w:type="paragraph" w:styleId="Title">
    <w:name w:val="Title"/>
    <w:basedOn w:val="Normal"/>
    <w:next w:val="Normal"/>
    <w:link w:val="TitleChar"/>
    <w:uiPriority w:val="10"/>
    <w:qFormat/>
    <w:rsid w:val="00B33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E5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E5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33E51"/>
    <w:rPr>
      <w:i/>
      <w:iCs/>
      <w:color w:val="404040" w:themeColor="text1" w:themeTint="BF"/>
    </w:rPr>
  </w:style>
  <w:style w:type="paragraph" w:styleId="ListParagraph">
    <w:name w:val="List Paragraph"/>
    <w:basedOn w:val="Normal"/>
    <w:uiPriority w:val="34"/>
    <w:qFormat/>
    <w:rsid w:val="00B33E51"/>
    <w:pPr>
      <w:spacing w:line="278" w:lineRule="auto"/>
      <w:ind w:left="720"/>
      <w:contextualSpacing/>
    </w:pPr>
    <w:rPr>
      <w:sz w:val="24"/>
      <w:szCs w:val="24"/>
    </w:rPr>
  </w:style>
  <w:style w:type="character" w:styleId="IntenseEmphasis">
    <w:name w:val="Intense Emphasis"/>
    <w:basedOn w:val="DefaultParagraphFont"/>
    <w:uiPriority w:val="21"/>
    <w:qFormat/>
    <w:rsid w:val="00B33E51"/>
    <w:rPr>
      <w:i/>
      <w:iCs/>
      <w:color w:val="0F4761" w:themeColor="accent1" w:themeShade="BF"/>
    </w:rPr>
  </w:style>
  <w:style w:type="paragraph" w:styleId="IntenseQuote">
    <w:name w:val="Intense Quote"/>
    <w:basedOn w:val="Normal"/>
    <w:next w:val="Normal"/>
    <w:link w:val="IntenseQuoteChar"/>
    <w:uiPriority w:val="30"/>
    <w:qFormat/>
    <w:rsid w:val="00B33E5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33E51"/>
    <w:rPr>
      <w:i/>
      <w:iCs/>
      <w:color w:val="0F4761" w:themeColor="accent1" w:themeShade="BF"/>
    </w:rPr>
  </w:style>
  <w:style w:type="character" w:styleId="IntenseReference">
    <w:name w:val="Intense Reference"/>
    <w:basedOn w:val="DefaultParagraphFont"/>
    <w:uiPriority w:val="32"/>
    <w:qFormat/>
    <w:rsid w:val="00B33E51"/>
    <w:rPr>
      <w:b/>
      <w:bCs/>
      <w:smallCaps/>
      <w:color w:val="0F4761" w:themeColor="accent1" w:themeShade="BF"/>
      <w:spacing w:val="5"/>
    </w:rPr>
  </w:style>
  <w:style w:type="character" w:styleId="Hyperlink">
    <w:name w:val="Hyperlink"/>
    <w:basedOn w:val="DefaultParagraphFont"/>
    <w:uiPriority w:val="99"/>
    <w:unhideWhenUsed/>
    <w:rsid w:val="00B33E51"/>
    <w:rPr>
      <w:color w:val="0000FF"/>
      <w:u w:val="single"/>
    </w:rPr>
  </w:style>
  <w:style w:type="table" w:styleId="TableGrid">
    <w:name w:val="Table Grid"/>
    <w:basedOn w:val="TableNormal"/>
    <w:uiPriority w:val="39"/>
    <w:rsid w:val="00B33E5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nate.rutgers.edu/committees/2025-26-university-structure-and-governance-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887</Words>
  <Characters>5057</Characters>
  <Application>Microsoft Office Word</Application>
  <DocSecurity>0</DocSecurity>
  <Lines>42</Lines>
  <Paragraphs>11</Paragraphs>
  <ScaleCrop>false</ScaleCrop>
  <Company>Rutgers School of Public Health</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Purcell</dc:creator>
  <cp:keywords/>
  <dc:description/>
  <cp:lastModifiedBy>Wendy Purcell</cp:lastModifiedBy>
  <cp:revision>1</cp:revision>
  <dcterms:created xsi:type="dcterms:W3CDTF">2026-02-01T22:36:00Z</dcterms:created>
  <dcterms:modified xsi:type="dcterms:W3CDTF">2026-02-01T22:39:00Z</dcterms:modified>
</cp:coreProperties>
</file>